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jc w:val="center"/>
        <w:rPr>
          <w:rFonts w:ascii="方正小标宋简体" w:eastAsia="方正小标宋简体" w:cs="Times New Roman"/>
          <w:sz w:val="44"/>
          <w:szCs w:val="44"/>
        </w:rPr>
      </w:pPr>
      <w:bookmarkStart w:id="0" w:name="RANGE!A1:AH10"/>
      <w:bookmarkStart w:id="1" w:name="_GoBack"/>
      <w:bookmarkEnd w:id="0"/>
      <w:bookmarkEnd w:id="1"/>
      <w:r>
        <w:rPr>
          <w:rFonts w:ascii="方正小标宋简体" w:eastAsia="方正小标宋简体" w:cs="Times New Roman" w:hint="eastAsia"/>
          <w:sz w:val="44"/>
          <w:szCs w:val="44"/>
        </w:rPr>
        <w:t>霸州市</w:t>
      </w:r>
      <w:r>
        <w:rPr>
          <w:rFonts w:ascii="方正小标宋简体" w:eastAsia="方正小标宋简体" w:cs="Times New Roman" w:hint="eastAsia"/>
          <w:sz w:val="44"/>
          <w:szCs w:val="44"/>
          <w:lang w:val="en-US" w:eastAsia="zh-CN"/>
        </w:rPr>
        <w:t>发展和改革局</w:t>
      </w:r>
      <w:r>
        <w:rPr>
          <w:rFonts w:ascii="方正小标宋简体" w:eastAsia="方正小标宋简体" w:cs="Times New Roman" w:hint="eastAsia"/>
          <w:sz w:val="44"/>
          <w:szCs w:val="44"/>
        </w:rPr>
        <w:t>20</w:t>
      </w:r>
      <w:r>
        <w:rPr>
          <w:rFonts w:ascii="方正小标宋简体" w:eastAsia="方正小标宋简体" w:cs="Times New Roman"/>
          <w:sz w:val="44"/>
          <w:szCs w:val="44"/>
        </w:rPr>
        <w:t>2</w:t>
      </w:r>
      <w:r>
        <w:rPr>
          <w:rFonts w:ascii="方正小标宋简体" w:eastAsia="方正小标宋简体" w:cs="Times New Roman" w:hint="eastAsia"/>
          <w:sz w:val="44"/>
          <w:szCs w:val="44"/>
          <w:lang w:val="en-US" w:eastAsia="zh-CN"/>
        </w:rPr>
        <w:t>1</w:t>
      </w:r>
      <w:r>
        <w:rPr>
          <w:rFonts w:ascii="方正小标宋简体" w:eastAsia="方正小标宋简体" w:cs="Times New Roman" w:hint="eastAsia"/>
          <w:sz w:val="44"/>
          <w:szCs w:val="44"/>
        </w:rPr>
        <w:t>年部门预算信息公开</w:t>
      </w:r>
    </w:p>
    <w:p>
      <w:pPr>
        <w:ind w:firstLineChars="200" w:firstLine="640"/>
        <w:rPr>
          <w:rFonts w:ascii="仿宋_GB2312" w:eastAsia="仿宋_GB2312" w:cs="Times New Roman"/>
          <w:sz w:val="32"/>
          <w:szCs w:val="32"/>
        </w:rPr>
      </w:pPr>
      <w:r>
        <w:rPr>
          <w:rFonts w:ascii="仿宋_GB2312" w:eastAsia="仿宋_GB2312" w:cs="Times New Roman" w:hint="eastAsia"/>
          <w:sz w:val="32"/>
          <w:szCs w:val="32"/>
        </w:rPr>
        <w:t>按照《预算法》、《地方预决算公开操作规程》和《河北省省级预算公开办法》规定，现将</w:t>
      </w:r>
      <w:r>
        <w:rPr>
          <w:rFonts w:ascii="仿宋_GB2312" w:eastAsia="仿宋_GB2312" w:cs="Times New Roman" w:hint="eastAsia"/>
          <w:sz w:val="32"/>
          <w:szCs w:val="32"/>
          <w:lang w:val="en-US" w:eastAsia="zh-CN"/>
        </w:rPr>
        <w:t>霸州市发展和改革局</w:t>
      </w:r>
      <w:r>
        <w:rPr>
          <w:rFonts w:ascii="仿宋_GB2312" w:eastAsia="仿宋_GB2312" w:cs="Times New Roman" w:hint="eastAsia"/>
          <w:sz w:val="32"/>
          <w:szCs w:val="32"/>
        </w:rPr>
        <w:t>20</w:t>
      </w:r>
      <w:r>
        <w:rPr>
          <w:rFonts w:ascii="仿宋_GB2312" w:eastAsia="仿宋_GB2312" w:cs="Times New Roman"/>
          <w:sz w:val="32"/>
          <w:szCs w:val="32"/>
        </w:rPr>
        <w:t>2</w:t>
      </w:r>
      <w:r>
        <w:rPr>
          <w:rFonts w:ascii="仿宋_GB2312" w:eastAsia="仿宋_GB2312" w:cs="Times New Roman" w:hint="eastAsia"/>
          <w:sz w:val="32"/>
          <w:szCs w:val="32"/>
          <w:lang w:val="en-US" w:eastAsia="zh-CN"/>
        </w:rPr>
        <w:t>1</w:t>
      </w:r>
      <w:r>
        <w:rPr>
          <w:rFonts w:ascii="仿宋_GB2312" w:eastAsia="仿宋_GB2312" w:cs="Times New Roman" w:hint="eastAsia"/>
          <w:sz w:val="32"/>
          <w:szCs w:val="32"/>
        </w:rPr>
        <w:t>年部门预算公开如下：</w:t>
      </w:r>
    </w:p>
    <w:p>
      <w:pPr>
        <w:ind w:firstLineChars="200" w:firstLine="640"/>
        <w:rPr>
          <w:rFonts w:ascii="黑体" w:eastAsia="黑体" w:cs="Times New Roman"/>
          <w:sz w:val="32"/>
          <w:szCs w:val="32"/>
        </w:rPr>
      </w:pPr>
      <w:r>
        <w:rPr>
          <w:rFonts w:ascii="黑体" w:eastAsia="黑体" w:cs="Times New Roman" w:hint="eastAsia"/>
          <w:sz w:val="32"/>
          <w:szCs w:val="32"/>
        </w:rPr>
        <w:t>一、部门职责及机构设置情况</w:t>
      </w:r>
    </w:p>
    <w:p>
      <w:pPr>
        <w:ind w:firstLineChars="200" w:firstLine="640"/>
        <w:rPr>
          <w:rFonts w:ascii="楷体_GB2312" w:eastAsia="楷体_GB2312" w:cs="Times New Roman" w:hint="eastAsia"/>
          <w:b/>
          <w:sz w:val="32"/>
          <w:szCs w:val="32"/>
        </w:rPr>
      </w:pPr>
      <w:r>
        <w:rPr>
          <w:rFonts w:ascii="楷体_GB2312" w:eastAsia="楷体_GB2312" w:cs="Times New Roman" w:hint="eastAsia"/>
          <w:b/>
          <w:sz w:val="32"/>
          <w:szCs w:val="32"/>
        </w:rPr>
        <w:t>部门职责：</w:t>
      </w:r>
    </w:p>
    <w:p>
      <w:pPr>
        <w:ind w:firstLineChars="200" w:firstLine="640"/>
        <w:rPr>
          <w:rFonts w:ascii="仿宋_GB2312" w:eastAsia="仿宋_GB2312" w:hint="eastAsia"/>
          <w:sz w:val="32"/>
          <w:szCs w:val="32"/>
          <w:lang w:val="en-US" w:eastAsia="zh-CN"/>
        </w:rPr>
      </w:pPr>
      <w:r>
        <w:rPr>
          <w:rFonts w:ascii="仿宋_GB2312" w:eastAsia="仿宋_GB2312" w:hint="eastAsia"/>
          <w:sz w:val="32"/>
          <w:szCs w:val="32"/>
        </w:rPr>
        <w:t>根据《</w:t>
      </w:r>
      <w:r>
        <w:rPr>
          <w:rFonts w:ascii="仿宋_GB2312" w:eastAsia="仿宋_GB2312" w:hint="eastAsia"/>
          <w:sz w:val="32"/>
          <w:szCs w:val="32"/>
          <w:lang w:val="en-US" w:eastAsia="zh-CN"/>
        </w:rPr>
        <w:t>霸州市发展和改革局职能配置、内设机构和人员编制规定》，霸州市发展和改革局主要职责是：</w:t>
      </w:r>
    </w:p>
    <w:p>
      <w:pPr>
        <w:keepNext w:val="0"/>
        <w:keepLines w:val="0"/>
        <w:pageBreakBefore w:val="0"/>
        <w:widowControl w:val="0"/>
        <w:kinsoku/>
        <w:wordWrap/>
        <w:overflowPunct/>
        <w:topLinePunct w:val="0"/>
        <w:autoSpaceDE/>
        <w:autoSpaceDN/>
        <w:bidi w:val="0"/>
        <w:adjustRightInd/>
        <w:snapToGrid/>
        <w:spacing w:line="580" w:lineRule="exact"/>
        <w:ind w:firstLineChars="200" w:firstLine="640"/>
        <w:textAlignment w:val="auto"/>
        <w:rPr>
          <w:rFonts w:ascii="仿宋" w:eastAsia="仿宋" w:hint="eastAsia"/>
          <w:color w:val="000000"/>
          <w:sz w:val="32"/>
          <w:szCs w:val="32"/>
        </w:rPr>
      </w:pPr>
      <w:r>
        <w:rPr>
          <w:rFonts w:ascii="仿宋" w:eastAsia="仿宋" w:hint="eastAsia"/>
          <w:color w:val="000000"/>
          <w:sz w:val="32"/>
          <w:szCs w:val="32"/>
        </w:rPr>
        <w:t>（一）拟订并组织实施全市国民经济和社会发展战略、中长期规划和年度计划。牵头组织统一规划体系建设。负责市级专项规划、区域规划、空间规划与我市发展规划的统筹衔接。起草国民经济和社会发展、经济体制改革和对外开放的有关法规草案，制定规范性文件。</w:t>
      </w:r>
    </w:p>
    <w:p>
      <w:pPr>
        <w:keepNext w:val="0"/>
        <w:keepLines w:val="0"/>
        <w:pageBreakBefore w:val="0"/>
        <w:widowControl w:val="0"/>
        <w:kinsoku/>
        <w:wordWrap/>
        <w:overflowPunct/>
        <w:topLinePunct w:val="0"/>
        <w:autoSpaceDE/>
        <w:autoSpaceDN/>
        <w:bidi w:val="0"/>
        <w:adjustRightInd/>
        <w:snapToGrid/>
        <w:spacing w:line="580" w:lineRule="exact"/>
        <w:ind w:firstLineChars="200" w:firstLine="640"/>
        <w:textAlignment w:val="auto"/>
        <w:rPr>
          <w:rFonts w:ascii="仿宋" w:eastAsia="仿宋" w:hint="eastAsia"/>
          <w:color w:val="000000"/>
          <w:sz w:val="32"/>
          <w:szCs w:val="32"/>
        </w:rPr>
      </w:pPr>
      <w:r>
        <w:rPr>
          <w:rFonts w:ascii="仿宋" w:eastAsia="仿宋" w:hint="eastAsia"/>
          <w:color w:val="000000"/>
          <w:sz w:val="32"/>
          <w:szCs w:val="32"/>
        </w:rPr>
        <w:t>（二）提出加快建设全市现代化经济体系、推动高质量发展的总体目标、重大任务及相关政策。组织开展重大战略规划、重大政策、重大工程等的评估督导，提出相关调整建议。</w:t>
      </w:r>
    </w:p>
    <w:p>
      <w:pPr>
        <w:keepNext w:val="0"/>
        <w:keepLines w:val="0"/>
        <w:pageBreakBefore w:val="0"/>
        <w:widowControl w:val="0"/>
        <w:kinsoku/>
        <w:wordWrap/>
        <w:overflowPunct/>
        <w:topLinePunct w:val="0"/>
        <w:autoSpaceDE/>
        <w:autoSpaceDN/>
        <w:bidi w:val="0"/>
        <w:adjustRightInd/>
        <w:snapToGrid/>
        <w:spacing w:line="580" w:lineRule="exact"/>
        <w:ind w:firstLineChars="200" w:firstLine="640"/>
        <w:textAlignment w:val="auto"/>
        <w:rPr>
          <w:rFonts w:ascii="仿宋" w:eastAsia="仿宋" w:hint="eastAsia"/>
          <w:color w:val="000000"/>
          <w:sz w:val="32"/>
          <w:szCs w:val="32"/>
        </w:rPr>
      </w:pPr>
      <w:r>
        <w:rPr>
          <w:rFonts w:ascii="仿宋" w:eastAsia="仿宋" w:hint="eastAsia"/>
          <w:color w:val="000000"/>
          <w:sz w:val="32"/>
          <w:szCs w:val="32"/>
        </w:rPr>
        <w:t>（三）贯彻落实国家宏观调控政策,统筹提出全市国民经济和社会发展主要目标,监测预测预警宏观经济和社会发展态势趋势,提岀经济调节政策建议。综合协调经济调节政策,牵头研究应对措施。调节经济运行,协调解决经济运行中的重大问题。拟订并组织实施有关价格政策,组织制定由县级管理的重要商品、服务价格和重要收费标准。参与贯彻落实省、市财政政策、货币政策和土地政策。</w:t>
      </w:r>
    </w:p>
    <w:p>
      <w:pPr>
        <w:keepNext w:val="0"/>
        <w:keepLines w:val="0"/>
        <w:pageBreakBefore w:val="0"/>
        <w:widowControl w:val="0"/>
        <w:kinsoku/>
        <w:wordWrap/>
        <w:overflowPunct/>
        <w:topLinePunct w:val="0"/>
        <w:autoSpaceDE/>
        <w:autoSpaceDN/>
        <w:bidi w:val="0"/>
        <w:adjustRightInd/>
        <w:snapToGrid/>
        <w:spacing w:line="580" w:lineRule="exact"/>
        <w:ind w:firstLineChars="200" w:firstLine="640"/>
        <w:textAlignment w:val="auto"/>
        <w:rPr>
          <w:rFonts w:ascii="仿宋" w:eastAsia="仿宋" w:hint="eastAsia"/>
          <w:color w:val="000000"/>
          <w:sz w:val="32"/>
          <w:szCs w:val="32"/>
        </w:rPr>
      </w:pPr>
      <w:r>
        <w:rPr>
          <w:rFonts w:ascii="仿宋" w:eastAsia="仿宋" w:hint="eastAsia"/>
          <w:color w:val="000000"/>
          <w:sz w:val="32"/>
          <w:szCs w:val="32"/>
        </w:rPr>
        <w:t>(四)指导推进和综合协调经济体制改革有关工作,提出相关改革建议。牵头推进供给侧结构性改革。协调推进产权制度和要素市场化配置改革。落实完善基本经济制度政策,推动现代化市场体系建设,会同有关部门组织实施市场准入负面清单制度。牵头推进优化营商环境工作。</w:t>
      </w:r>
    </w:p>
    <w:p>
      <w:pPr>
        <w:keepNext w:val="0"/>
        <w:keepLines w:val="0"/>
        <w:pageBreakBefore w:val="0"/>
        <w:widowControl w:val="0"/>
        <w:kinsoku/>
        <w:wordWrap/>
        <w:overflowPunct/>
        <w:topLinePunct w:val="0"/>
        <w:autoSpaceDE/>
        <w:autoSpaceDN/>
        <w:bidi w:val="0"/>
        <w:adjustRightInd/>
        <w:snapToGrid/>
        <w:spacing w:line="580" w:lineRule="exact"/>
        <w:ind w:firstLineChars="200" w:firstLine="640"/>
        <w:textAlignment w:val="auto"/>
        <w:rPr>
          <w:rFonts w:ascii="仿宋" w:eastAsia="仿宋" w:hint="eastAsia"/>
          <w:color w:val="000000"/>
          <w:sz w:val="32"/>
          <w:szCs w:val="32"/>
        </w:rPr>
      </w:pPr>
      <w:r>
        <w:rPr>
          <w:rFonts w:ascii="仿宋" w:eastAsia="仿宋" w:hint="eastAsia"/>
          <w:color w:val="000000"/>
          <w:sz w:val="32"/>
          <w:szCs w:val="32"/>
        </w:rPr>
        <w:t>(五)提出全市利用外资和境外投资的战略、规划、总量平衡和结构优化政策。会同有关部门贯彻落实省、市外商投资准入负面清单。负责全市全口径外债的总量控制、结构优化和监测工作。</w:t>
      </w:r>
    </w:p>
    <w:p>
      <w:pPr>
        <w:keepNext w:val="0"/>
        <w:keepLines w:val="0"/>
        <w:pageBreakBefore w:val="0"/>
        <w:widowControl w:val="0"/>
        <w:kinsoku/>
        <w:wordWrap/>
        <w:overflowPunct/>
        <w:topLinePunct w:val="0"/>
        <w:autoSpaceDE/>
        <w:autoSpaceDN/>
        <w:bidi w:val="0"/>
        <w:adjustRightInd/>
        <w:snapToGrid/>
        <w:spacing w:line="580" w:lineRule="exact"/>
        <w:ind w:firstLineChars="200" w:firstLine="640"/>
        <w:textAlignment w:val="auto"/>
        <w:rPr>
          <w:rFonts w:ascii="仿宋" w:eastAsia="仿宋" w:hint="eastAsia"/>
          <w:color w:val="000000"/>
          <w:sz w:val="32"/>
          <w:szCs w:val="32"/>
        </w:rPr>
      </w:pPr>
      <w:r>
        <w:rPr>
          <w:rFonts w:ascii="仿宋" w:eastAsia="仿宋" w:hint="eastAsia"/>
          <w:color w:val="000000"/>
          <w:sz w:val="32"/>
          <w:szCs w:val="32"/>
        </w:rPr>
        <w:t>(六)负责全市投资综合管理。拟订全市固定资产投资总规模、结构调控目标和政策,会同相关部门拟订政府投资项目审批权限的固定资产投资项目目录。安排市级预算内基本建设资金和有关发展性专项资金,按规定杈限审批项目。规划全市重点建设项目和生产力布局,组织推动重点建设项目。拟订并推动落实鼓励民间投资政策措施。</w:t>
      </w:r>
    </w:p>
    <w:p>
      <w:pPr>
        <w:keepNext w:val="0"/>
        <w:keepLines w:val="0"/>
        <w:pageBreakBefore w:val="0"/>
        <w:widowControl w:val="0"/>
        <w:kinsoku/>
        <w:wordWrap/>
        <w:overflowPunct/>
        <w:topLinePunct w:val="0"/>
        <w:autoSpaceDE/>
        <w:autoSpaceDN/>
        <w:bidi w:val="0"/>
        <w:adjustRightInd/>
        <w:snapToGrid/>
        <w:spacing w:line="580" w:lineRule="exact"/>
        <w:ind w:firstLineChars="200" w:firstLine="640"/>
        <w:textAlignment w:val="auto"/>
        <w:rPr>
          <w:rFonts w:ascii="仿宋" w:eastAsia="仿宋" w:hint="eastAsia"/>
          <w:color w:val="000000"/>
          <w:sz w:val="32"/>
          <w:szCs w:val="32"/>
        </w:rPr>
      </w:pPr>
      <w:r>
        <w:rPr>
          <w:rFonts w:ascii="仿宋" w:eastAsia="仿宋" w:hint="eastAsia"/>
          <w:color w:val="000000"/>
          <w:sz w:val="32"/>
          <w:szCs w:val="32"/>
        </w:rPr>
        <w:t>（七）推进落实区域协调发展战略、新型城镇化战略和重大政策,组织拟订相关区域规划和政策。推进实施京津冀协同发展等区域发展战略。组织编制并推动实施新型城镇化规划。</w:t>
      </w:r>
    </w:p>
    <w:p>
      <w:pPr>
        <w:keepNext w:val="0"/>
        <w:keepLines w:val="0"/>
        <w:pageBreakBefore w:val="0"/>
        <w:widowControl w:val="0"/>
        <w:kinsoku/>
        <w:wordWrap/>
        <w:overflowPunct/>
        <w:topLinePunct w:val="0"/>
        <w:autoSpaceDE/>
        <w:autoSpaceDN/>
        <w:bidi w:val="0"/>
        <w:adjustRightInd/>
        <w:snapToGrid/>
        <w:spacing w:line="580" w:lineRule="exact"/>
        <w:ind w:firstLineChars="200" w:firstLine="640"/>
        <w:textAlignment w:val="auto"/>
        <w:rPr>
          <w:rFonts w:ascii="仿宋" w:eastAsia="仿宋" w:hint="eastAsia"/>
          <w:color w:val="000000"/>
          <w:sz w:val="32"/>
          <w:szCs w:val="32"/>
        </w:rPr>
      </w:pPr>
      <w:r>
        <w:rPr>
          <w:rFonts w:ascii="仿宋" w:eastAsia="仿宋" w:hint="eastAsia"/>
          <w:color w:val="000000"/>
          <w:sz w:val="32"/>
          <w:szCs w:val="32"/>
        </w:rPr>
        <w:t>(八)组织贯彻实施省、市产业政策,拟订全市综合性产业政策。协调一二三产业发展重大问题并统筹衔接相关发展规划和重大政策。协调推进重大基础设施建设发展,组织拟订并推动实施服务业及现代物流业战略规划和重大政策。综合研判消费变动趋势,拟订实施促进消费的综合性政策措施。</w:t>
      </w:r>
    </w:p>
    <w:p>
      <w:pPr>
        <w:keepNext w:val="0"/>
        <w:keepLines w:val="0"/>
        <w:pageBreakBefore w:val="0"/>
        <w:widowControl w:val="0"/>
        <w:kinsoku/>
        <w:wordWrap/>
        <w:overflowPunct/>
        <w:topLinePunct w:val="0"/>
        <w:autoSpaceDE/>
        <w:autoSpaceDN/>
        <w:bidi w:val="0"/>
        <w:adjustRightInd/>
        <w:snapToGrid/>
        <w:spacing w:line="580" w:lineRule="exact"/>
        <w:ind w:firstLineChars="200" w:firstLine="640"/>
        <w:textAlignment w:val="auto"/>
        <w:rPr>
          <w:rFonts w:ascii="仿宋" w:eastAsia="仿宋" w:hint="eastAsia"/>
          <w:color w:val="000000"/>
          <w:sz w:val="32"/>
          <w:szCs w:val="32"/>
        </w:rPr>
      </w:pPr>
      <w:r>
        <w:rPr>
          <w:rFonts w:ascii="仿宋" w:eastAsia="仿宋" w:hint="eastAsia"/>
          <w:color w:val="000000"/>
          <w:sz w:val="32"/>
          <w:szCs w:val="32"/>
        </w:rPr>
        <w:t>(九)推动实施全市创新驱动发展战略。会同相关部门拟订全市推进创新创业的规划和政策,提出创新发展和培育经济发展新动能的政策。会同相关部门规划布局重大科技基础设施。组织拟订并推动实施高技术产业和战略性新兴产业及数字经济发展规划政策,协调产业升级、重大技术装备推广应用等方面的重大问题。</w:t>
      </w:r>
    </w:p>
    <w:p>
      <w:pPr>
        <w:keepNext w:val="0"/>
        <w:keepLines w:val="0"/>
        <w:pageBreakBefore w:val="0"/>
        <w:widowControl w:val="0"/>
        <w:kinsoku/>
        <w:wordWrap/>
        <w:overflowPunct/>
        <w:topLinePunct w:val="0"/>
        <w:autoSpaceDE/>
        <w:autoSpaceDN/>
        <w:bidi w:val="0"/>
        <w:adjustRightInd/>
        <w:snapToGrid/>
        <w:spacing w:line="580" w:lineRule="exact"/>
        <w:ind w:firstLineChars="200" w:firstLine="640"/>
        <w:textAlignment w:val="auto"/>
        <w:rPr>
          <w:rFonts w:ascii="仿宋" w:eastAsia="仿宋" w:hint="eastAsia"/>
          <w:color w:val="000000"/>
          <w:sz w:val="32"/>
          <w:szCs w:val="32"/>
        </w:rPr>
      </w:pPr>
      <w:r>
        <w:rPr>
          <w:rFonts w:ascii="仿宋" w:eastAsia="仿宋" w:hint="eastAsia"/>
          <w:color w:val="000000"/>
          <w:sz w:val="32"/>
          <w:szCs w:val="32"/>
        </w:rPr>
        <w:t>（十）跟踪研判涉及经济安全、生态安全、资源安全、科技安全、社会安全等各类风险隐患,提出相关工作建议。协调落实重要工业品、原材料和重要农产品进出口调控措施。会同有关部门拟订全市储备物资品种目录、总体发展规划。</w:t>
      </w:r>
    </w:p>
    <w:p>
      <w:pPr>
        <w:keepNext w:val="0"/>
        <w:keepLines w:val="0"/>
        <w:pageBreakBefore w:val="0"/>
        <w:widowControl w:val="0"/>
        <w:kinsoku/>
        <w:wordWrap/>
        <w:overflowPunct/>
        <w:topLinePunct w:val="0"/>
        <w:autoSpaceDE/>
        <w:autoSpaceDN/>
        <w:bidi w:val="0"/>
        <w:adjustRightInd/>
        <w:snapToGrid/>
        <w:spacing w:line="580" w:lineRule="exact"/>
        <w:ind w:firstLineChars="200" w:firstLine="640"/>
        <w:textAlignment w:val="auto"/>
        <w:rPr>
          <w:rFonts w:ascii="仿宋" w:eastAsia="仿宋" w:hint="eastAsia"/>
          <w:color w:val="000000"/>
          <w:sz w:val="32"/>
          <w:szCs w:val="32"/>
        </w:rPr>
      </w:pPr>
      <w:r>
        <w:rPr>
          <w:rFonts w:ascii="仿宋" w:eastAsia="仿宋" w:hint="eastAsia"/>
          <w:color w:val="000000"/>
          <w:sz w:val="32"/>
          <w:szCs w:val="32"/>
        </w:rPr>
        <w:t>(十一)负责全市社会发展与国民经济发展的政策衔接,协调有关重大问题。组织拟订社会发展战略、总体规划,统筹推进基本公共服务体系建设和收入分配制度改革,提出促进就业、完善社会保障与经济协调发展的政策建议。</w:t>
      </w:r>
    </w:p>
    <w:p>
      <w:pPr>
        <w:keepNext w:val="0"/>
        <w:keepLines w:val="0"/>
        <w:pageBreakBefore w:val="0"/>
        <w:widowControl w:val="0"/>
        <w:kinsoku/>
        <w:wordWrap/>
        <w:overflowPunct/>
        <w:topLinePunct w:val="0"/>
        <w:autoSpaceDE/>
        <w:autoSpaceDN/>
        <w:bidi w:val="0"/>
        <w:adjustRightInd/>
        <w:snapToGrid/>
        <w:spacing w:line="580" w:lineRule="exact"/>
        <w:ind w:firstLineChars="200" w:firstLine="640"/>
        <w:textAlignment w:val="auto"/>
        <w:rPr>
          <w:rFonts w:ascii="仿宋" w:eastAsia="仿宋" w:hint="eastAsia"/>
          <w:color w:val="000000"/>
          <w:sz w:val="32"/>
          <w:szCs w:val="32"/>
        </w:rPr>
      </w:pPr>
      <w:r>
        <w:rPr>
          <w:rFonts w:ascii="仿宋" w:eastAsia="仿宋" w:hint="eastAsia"/>
          <w:color w:val="000000"/>
          <w:sz w:val="32"/>
          <w:szCs w:val="32"/>
        </w:rPr>
        <w:t>(十二)推进实施可持续发展战略,推动生态文明建设和改革,协调生态环境保护与修复、能源资源节约和综合利用等工作。提出健全生态保护补偿机制的政策措施,综合协调环保产业和清洁生产促进有关工作。提出全市能源消费控制目标、任务并组织实施。</w:t>
      </w:r>
    </w:p>
    <w:p>
      <w:pPr>
        <w:keepNext w:val="0"/>
        <w:keepLines w:val="0"/>
        <w:pageBreakBefore w:val="0"/>
        <w:widowControl w:val="0"/>
        <w:kinsoku/>
        <w:wordWrap/>
        <w:overflowPunct/>
        <w:topLinePunct w:val="0"/>
        <w:autoSpaceDE/>
        <w:autoSpaceDN/>
        <w:bidi w:val="0"/>
        <w:adjustRightInd/>
        <w:snapToGrid/>
        <w:spacing w:line="580" w:lineRule="exact"/>
        <w:ind w:firstLineChars="200" w:firstLine="640"/>
        <w:textAlignment w:val="auto"/>
        <w:rPr>
          <w:rFonts w:ascii="仿宋" w:eastAsia="仿宋" w:hint="eastAsia"/>
          <w:color w:val="000000"/>
          <w:sz w:val="32"/>
          <w:szCs w:val="32"/>
        </w:rPr>
      </w:pPr>
      <w:r>
        <w:rPr>
          <w:rFonts w:ascii="仿宋" w:eastAsia="仿宋" w:hint="eastAsia"/>
          <w:color w:val="000000"/>
          <w:sz w:val="32"/>
          <w:szCs w:val="32"/>
        </w:rPr>
        <w:t>(十三)组织拟订推进全市经济建设与国防建设协调发展的战略和规划,组织推进经济建设项目贯彻国防要求。</w:t>
      </w:r>
    </w:p>
    <w:p>
      <w:pPr>
        <w:keepNext w:val="0"/>
        <w:keepLines w:val="0"/>
        <w:pageBreakBefore w:val="0"/>
        <w:widowControl w:val="0"/>
        <w:kinsoku/>
        <w:wordWrap/>
        <w:overflowPunct/>
        <w:topLinePunct w:val="0"/>
        <w:autoSpaceDE/>
        <w:autoSpaceDN/>
        <w:bidi w:val="0"/>
        <w:adjustRightInd/>
        <w:snapToGrid/>
        <w:spacing w:line="580" w:lineRule="exact"/>
        <w:ind w:firstLineChars="200" w:firstLine="640"/>
        <w:textAlignment w:val="auto"/>
        <w:rPr>
          <w:rFonts w:ascii="仿宋" w:eastAsia="仿宋" w:hint="eastAsia"/>
          <w:color w:val="000000"/>
          <w:sz w:val="32"/>
          <w:szCs w:val="32"/>
        </w:rPr>
      </w:pPr>
      <w:r>
        <w:rPr>
          <w:rFonts w:ascii="仿宋" w:eastAsia="仿宋" w:hint="eastAsia"/>
          <w:color w:val="000000"/>
          <w:sz w:val="32"/>
          <w:szCs w:val="32"/>
        </w:rPr>
        <w:t>(十四)承担市委财经委员会、市推进京津冀协同发展工作领导小组、市重点建设领导小组等有关具体工作。</w:t>
      </w:r>
    </w:p>
    <w:p>
      <w:pPr>
        <w:keepNext w:val="0"/>
        <w:keepLines w:val="0"/>
        <w:pageBreakBefore w:val="0"/>
        <w:widowControl w:val="0"/>
        <w:kinsoku/>
        <w:wordWrap/>
        <w:overflowPunct/>
        <w:topLinePunct w:val="0"/>
        <w:autoSpaceDE/>
        <w:autoSpaceDN/>
        <w:bidi w:val="0"/>
        <w:adjustRightInd/>
        <w:snapToGrid/>
        <w:spacing w:line="580" w:lineRule="exact"/>
        <w:ind w:firstLineChars="200" w:firstLine="640"/>
        <w:textAlignment w:val="auto"/>
        <w:rPr>
          <w:rFonts w:ascii="仿宋_GB2312" w:eastAsia="仿宋_GB2312" w:cs="仿宋_GB2312"/>
          <w:sz w:val="32"/>
          <w:szCs w:val="32"/>
        </w:rPr>
      </w:pPr>
      <w:r>
        <w:rPr>
          <w:rFonts w:ascii="仿宋" w:eastAsia="仿宋" w:hint="eastAsia"/>
          <w:color w:val="000000"/>
          <w:sz w:val="32"/>
          <w:szCs w:val="32"/>
        </w:rPr>
        <w:t>（十五）</w:t>
      </w:r>
      <w:r>
        <w:rPr>
          <w:rFonts w:ascii="仿宋_GB2312" w:eastAsia="仿宋_GB2312" w:cs="仿宋_GB2312" w:hint="eastAsia"/>
          <w:sz w:val="32"/>
          <w:szCs w:val="32"/>
        </w:rPr>
        <w:t>组织落实国家、省有关粮食流通和物资储备的法律、法规和政策。落实国家、省粮食行业发展规划和政策，制定全市粮食行业发展规划并组织实施。拟订全市粮食流通、市级粮食储备和物资储备的政策和规章制度并组织实施。承担全市粮食流通宏观调控，落实国家粮食购销政策，组织实施县级粮食、食糖和救灾物资等物资的收储、轮换和日常管理，落实有关动用计划和指令。贯彻落实国家粮食和物资储备仓储管理有关技术标准和规范。指导全市粮食流通和物资储备体制改革。承担粮食安全责任制考核日常工作。</w:t>
      </w:r>
    </w:p>
    <w:p>
      <w:pPr>
        <w:keepNext w:val="0"/>
        <w:keepLines w:val="0"/>
        <w:pageBreakBefore w:val="0"/>
        <w:widowControl w:val="0"/>
        <w:kinsoku/>
        <w:wordWrap/>
        <w:overflowPunct/>
        <w:topLinePunct w:val="0"/>
        <w:autoSpaceDE/>
        <w:autoSpaceDN/>
        <w:bidi w:val="0"/>
        <w:adjustRightInd/>
        <w:snapToGrid/>
        <w:spacing w:line="580" w:lineRule="exact"/>
        <w:ind w:firstLineChars="200" w:firstLine="640"/>
        <w:textAlignment w:val="auto"/>
        <w:rPr>
          <w:rFonts w:ascii="仿宋" w:eastAsia="仿宋" w:hint="eastAsia"/>
          <w:color w:val="000000"/>
          <w:sz w:val="32"/>
          <w:szCs w:val="32"/>
        </w:rPr>
      </w:pPr>
      <w:r>
        <w:rPr>
          <w:rFonts w:ascii="仿宋" w:eastAsia="仿宋" w:hint="eastAsia"/>
          <w:color w:val="000000"/>
          <w:sz w:val="32"/>
          <w:szCs w:val="32"/>
        </w:rPr>
        <w:t>（十六）</w:t>
      </w:r>
      <w:r>
        <w:rPr>
          <w:rFonts w:ascii="仿宋_GB2312" w:eastAsia="仿宋_GB2312" w:hint="eastAsia"/>
          <w:sz w:val="32"/>
          <w:szCs w:val="32"/>
        </w:rPr>
        <w:t>提出能源发展战略的建议，拟订能源发展规划、产业政策和年度指导计划并组织实施。起草有关能源行业的地方性法规和规章草案。推进能源体制改革，拟订有关改革方案并组织实施。协调能源发展和改革中的重大问题。组织实施煤炭、石油、天然气、电力(核电)、新能源和可再生能源等能源，以及煤制燃料和生物质液体等燃料的产业政策和相关标准。指导协调农村能源发展工作。组织推进能源重大设备研发，指导能源科技进步、成套设备的引进消化创新，组织协调相关示范工程和推广应用新产品、新技术、新设备。负责能源行业节能和资源综合利用。参与研究能源消费总量控制目标建议，指导、监督能源消费总量控制有关工作，街接能源生产建设和供需平衡。负责能源预测预警。发布能源信息，参与能源运行调节和应急保障。监管油气、新能源市场运行，规范能源市场秩序。监管油气管网设施的公平开放，参与电力市场的监管。参与制定与能源相关的资源、财税、环保及应对气候变化等政策，提出能源价格调整建议。</w:t>
      </w:r>
    </w:p>
    <w:p>
      <w:pPr>
        <w:keepNext w:val="0"/>
        <w:keepLines w:val="0"/>
        <w:pageBreakBefore w:val="0"/>
        <w:widowControl w:val="0"/>
        <w:kinsoku/>
        <w:wordWrap/>
        <w:overflowPunct/>
        <w:topLinePunct w:val="0"/>
        <w:autoSpaceDE/>
        <w:autoSpaceDN/>
        <w:bidi w:val="0"/>
        <w:adjustRightInd/>
        <w:snapToGrid/>
        <w:spacing w:line="580" w:lineRule="exact"/>
        <w:ind w:firstLineChars="200" w:firstLine="640"/>
        <w:textAlignment w:val="auto"/>
        <w:rPr>
          <w:rFonts w:ascii="仿宋" w:eastAsia="仿宋"/>
          <w:color w:val="000000"/>
          <w:sz w:val="32"/>
          <w:szCs w:val="32"/>
        </w:rPr>
      </w:pPr>
      <w:r>
        <w:rPr>
          <w:rFonts w:ascii="仿宋" w:eastAsia="仿宋" w:hint="eastAsia"/>
          <w:color w:val="000000"/>
          <w:sz w:val="32"/>
          <w:szCs w:val="32"/>
        </w:rPr>
        <w:t>（十七）负责全市口岸规划、建设、开放和管理工作。</w:t>
      </w:r>
    </w:p>
    <w:p>
      <w:pPr>
        <w:keepNext w:val="0"/>
        <w:keepLines w:val="0"/>
        <w:pageBreakBefore w:val="0"/>
        <w:widowControl w:val="0"/>
        <w:kinsoku/>
        <w:wordWrap/>
        <w:overflowPunct/>
        <w:topLinePunct w:val="0"/>
        <w:autoSpaceDE/>
        <w:autoSpaceDN/>
        <w:bidi w:val="0"/>
        <w:adjustRightInd/>
        <w:snapToGrid/>
        <w:spacing w:line="580" w:lineRule="exact"/>
        <w:ind w:firstLineChars="200" w:firstLine="640"/>
        <w:textAlignment w:val="auto"/>
        <w:rPr>
          <w:rFonts w:ascii="仿宋" w:eastAsia="仿宋"/>
          <w:color w:val="000000"/>
          <w:sz w:val="32"/>
          <w:szCs w:val="32"/>
        </w:rPr>
      </w:pPr>
      <w:r>
        <w:rPr>
          <w:rFonts w:ascii="仿宋" w:eastAsia="仿宋" w:hint="eastAsia"/>
          <w:color w:val="000000"/>
          <w:sz w:val="32"/>
          <w:szCs w:val="32"/>
        </w:rPr>
        <w:t>（十八）完成市委、市政府交办的其他任务。</w:t>
      </w:r>
    </w:p>
    <w:p>
      <w:pPr>
        <w:autoSpaceDE w:val="0"/>
        <w:autoSpaceDN w:val="0"/>
        <w:adjustRightInd w:val="0"/>
        <w:ind w:firstLineChars="200" w:firstLine="640"/>
        <w:jc w:val="left"/>
        <w:rPr>
          <w:rFonts w:ascii="楷体_GB2312" w:eastAsia="楷体_GB2312" w:cs="Times New Roman" w:hint="eastAsia"/>
          <w:b/>
          <w:sz w:val="32"/>
          <w:szCs w:val="32"/>
        </w:rPr>
      </w:pPr>
    </w:p>
    <w:p>
      <w:pPr>
        <w:autoSpaceDE w:val="0"/>
        <w:autoSpaceDN w:val="0"/>
        <w:adjustRightInd w:val="0"/>
        <w:ind w:firstLineChars="200" w:firstLine="640"/>
        <w:jc w:val="left"/>
        <w:rPr>
          <w:rFonts w:ascii="楷体_GB2312" w:eastAsia="楷体_GB2312" w:cs="Times New Roman"/>
          <w:b/>
          <w:sz w:val="32"/>
          <w:szCs w:val="32"/>
        </w:rPr>
      </w:pPr>
      <w:r>
        <w:rPr>
          <w:rFonts w:ascii="楷体_GB2312" w:eastAsia="楷体_GB2312" w:cs="Times New Roman" w:hint="eastAsia"/>
          <w:b/>
          <w:sz w:val="32"/>
          <w:szCs w:val="32"/>
        </w:rPr>
        <w:t>机构设置：</w:t>
      </w:r>
    </w:p>
    <w:p>
      <w:pPr>
        <w:jc w:val="center"/>
        <w:outlineLvl w:val="0"/>
        <w:rPr>
          <w:rFonts w:ascii="Times New Roman" w:eastAsia="方正小标宋_GBK" w:cs="Times New Roman" w:hAnsi="Times New Roman"/>
          <w:sz w:val="32"/>
          <w:szCs w:val="24"/>
        </w:rPr>
      </w:pPr>
      <w:r>
        <w:rPr>
          <w:rFonts w:ascii="Times New Roman" w:eastAsia="方正小标宋_GBK" w:cs="Times New Roman" w:hAnsi="Times New Roman"/>
          <w:sz w:val="32"/>
          <w:szCs w:val="24"/>
        </w:rPr>
        <w:t>部门</w:t>
      </w:r>
      <w:r>
        <w:rPr>
          <w:rFonts w:ascii="Times New Roman" w:eastAsia="方正小标宋_GBK" w:cs="Times New Roman" w:hAnsi="Times New Roman" w:hint="eastAsia"/>
          <w:sz w:val="32"/>
          <w:szCs w:val="24"/>
        </w:rPr>
        <w:t>机构设置情况</w:t>
      </w:r>
    </w:p>
    <w:tbl>
      <w:tblPr>
        <w:jc w:val="center"/>
        <w:tblW w:w="123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3711"/>
        <w:gridCol w:w="1866"/>
        <w:gridCol w:w="1536"/>
        <w:gridCol w:w="2642"/>
        <w:gridCol w:w="2640"/>
      </w:tblGrid>
      <w:tr>
        <w:trPr>
          <w:trHeight w:val="300"/>
          <w:tblHeader/>
        </w:trPr>
        <w:tc>
          <w:tcPr>
            <w:tcW w:w="3711"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Times New Roman" w:eastAsia="方正书宋_GBK" w:cs="Times New Roman" w:hAnsi="Times New Roman"/>
                <w:b/>
                <w:szCs w:val="24"/>
              </w:rPr>
            </w:pPr>
            <w:r>
              <w:rPr>
                <w:rFonts w:ascii="Times New Roman" w:eastAsia="方正书宋_GBK" w:cs="Times New Roman" w:hAnsi="Times New Roman"/>
                <w:b/>
                <w:szCs w:val="24"/>
              </w:rPr>
              <w:t>单位名称</w:t>
            </w:r>
          </w:p>
        </w:tc>
        <w:tc>
          <w:tcPr>
            <w:tcW w:w="1866"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Times New Roman" w:eastAsia="方正书宋_GBK" w:cs="Times New Roman" w:hAnsi="Times New Roman"/>
                <w:b/>
                <w:szCs w:val="24"/>
              </w:rPr>
            </w:pPr>
            <w:r>
              <w:rPr>
                <w:rFonts w:ascii="Times New Roman" w:eastAsia="方正书宋_GBK" w:cs="Times New Roman" w:hAnsi="Times New Roman"/>
                <w:b/>
                <w:szCs w:val="24"/>
              </w:rPr>
              <w:t>单位性质</w:t>
            </w:r>
          </w:p>
        </w:tc>
        <w:tc>
          <w:tcPr>
            <w:tcW w:w="1536"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Times New Roman" w:eastAsia="方正书宋_GBK" w:cs="Times New Roman" w:hAnsi="Times New Roman"/>
                <w:b/>
                <w:szCs w:val="24"/>
              </w:rPr>
            </w:pPr>
            <w:r>
              <w:rPr>
                <w:rFonts w:ascii="Times New Roman" w:eastAsia="方正书宋_GBK" w:cs="Times New Roman" w:hAnsi="Times New Roman"/>
                <w:b/>
                <w:szCs w:val="24"/>
              </w:rPr>
              <w:t>单位规格</w:t>
            </w:r>
          </w:p>
        </w:tc>
        <w:tc>
          <w:tcPr>
            <w:tcW w:w="2642"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Times New Roman" w:eastAsia="方正书宋_GBK" w:cs="Times New Roman" w:hAnsi="Times New Roman"/>
                <w:b/>
                <w:szCs w:val="24"/>
              </w:rPr>
            </w:pPr>
            <w:r>
              <w:rPr>
                <w:rFonts w:ascii="Times New Roman" w:eastAsia="方正书宋_GBK" w:cs="Times New Roman" w:hAnsi="Times New Roman"/>
                <w:b/>
                <w:szCs w:val="24"/>
              </w:rPr>
              <w:t>经费保障形式</w:t>
            </w:r>
          </w:p>
        </w:tc>
        <w:tc>
          <w:tcPr>
            <w:tcW w:w="2640"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Times New Roman" w:eastAsia="方正书宋_GBK" w:cs="Times New Roman" w:hAnsi="Times New Roman"/>
                <w:b/>
                <w:szCs w:val="24"/>
              </w:rPr>
            </w:pPr>
          </w:p>
        </w:tc>
      </w:tr>
      <w:tr>
        <w:trPr>
          <w:trHeight w:val="300"/>
          <w:tblHeader/>
        </w:trPr>
        <w:tc>
          <w:tcPr>
            <w:tcW w:w="3711"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186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153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2642"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2640"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outlineLvl w:val="0"/>
              <w:rPr>
                <w:rFonts w:ascii="Times New Roman" w:eastAsia="宋体" w:cs="Times New Roman" w:hAnsi="Times New Roman"/>
                <w:szCs w:val="24"/>
              </w:rPr>
            </w:pPr>
          </w:p>
        </w:tc>
      </w:tr>
      <w:tr>
        <w:trPr>
          <w:trHeight w:val="227"/>
        </w:trPr>
        <w:tc>
          <w:tcPr>
            <w:tcW w:w="371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Times New Roman" w:eastAsia="方正书宋_GBK" w:cs="Times New Roman" w:hAnsi="Times New Roman"/>
                <w:szCs w:val="24"/>
              </w:rPr>
            </w:pPr>
            <w:r>
              <w:rPr>
                <w:rFonts w:ascii="Times New Roman" w:eastAsia="方正书宋_GBK" w:cs="Times New Roman" w:hAnsi="Times New Roman" w:hint="eastAsia"/>
                <w:szCs w:val="24"/>
              </w:rPr>
              <w:t>霸州市发展</w:t>
            </w:r>
            <w:r>
              <w:rPr>
                <w:rFonts w:ascii="Times New Roman" w:eastAsia="方正书宋_GBK" w:cs="Times New Roman" w:hAnsi="Times New Roman" w:hint="eastAsia"/>
                <w:szCs w:val="24"/>
                <w:lang w:val="en-US" w:eastAsia="zh-CN"/>
              </w:rPr>
              <w:t>和</w:t>
            </w:r>
            <w:r>
              <w:rPr>
                <w:rFonts w:ascii="Times New Roman" w:eastAsia="方正书宋_GBK" w:cs="Times New Roman" w:hAnsi="Times New Roman" w:hint="eastAsia"/>
                <w:szCs w:val="24"/>
              </w:rPr>
              <w:t>改革局</w:t>
            </w:r>
          </w:p>
        </w:tc>
        <w:tc>
          <w:tcPr>
            <w:tcW w:w="186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Times New Roman" w:eastAsia="方正书宋_GBK" w:cs="Times New Roman" w:hAnsi="Times New Roman"/>
                <w:szCs w:val="24"/>
              </w:rPr>
            </w:pPr>
            <w:r>
              <w:rPr>
                <w:rFonts w:ascii="Times New Roman" w:eastAsia="方正书宋_GBK" w:cs="Times New Roman" w:hAnsi="Times New Roman" w:hint="eastAsia"/>
                <w:szCs w:val="24"/>
              </w:rPr>
              <w:t>行政</w:t>
            </w:r>
          </w:p>
        </w:tc>
        <w:tc>
          <w:tcPr>
            <w:tcW w:w="153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Times New Roman" w:eastAsia="方正书宋_GBK" w:cs="Times New Roman" w:hAnsi="Times New Roman"/>
                <w:szCs w:val="24"/>
              </w:rPr>
            </w:pPr>
            <w:r>
              <w:rPr>
                <w:rFonts w:ascii="Times New Roman" w:eastAsia="方正书宋_GBK" w:cs="Times New Roman" w:hAnsi="Times New Roman" w:hint="eastAsia"/>
                <w:szCs w:val="24"/>
              </w:rPr>
              <w:t>正科级</w:t>
            </w:r>
          </w:p>
        </w:tc>
        <w:tc>
          <w:tcPr>
            <w:tcW w:w="2642"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Times New Roman" w:eastAsia="方正书宋_GBK" w:cs="Times New Roman" w:hAnsi="Times New Roman"/>
                <w:szCs w:val="24"/>
              </w:rPr>
            </w:pPr>
            <w:r>
              <w:rPr>
                <w:rFonts w:ascii="Times New Roman" w:eastAsia="方正书宋_GBK" w:cs="Times New Roman" w:hAnsi="Times New Roman" w:hint="eastAsia"/>
                <w:szCs w:val="24"/>
              </w:rPr>
              <w:t>财政拨款</w:t>
            </w:r>
          </w:p>
        </w:tc>
        <w:tc>
          <w:tcPr>
            <w:tcW w:w="2640"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Times New Roman" w:eastAsia="方正书宋_GBK" w:cs="Times New Roman" w:hAnsi="Times New Roman" w:hint="eastAsia"/>
                <w:szCs w:val="24"/>
              </w:rPr>
            </w:pPr>
          </w:p>
        </w:tc>
      </w:tr>
      <w:tr>
        <w:trPr>
          <w:trHeight w:val="227"/>
        </w:trPr>
        <w:tc>
          <w:tcPr>
            <w:tcW w:w="371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Times New Roman" w:eastAsia="方正书宋_GBK" w:cs="Times New Roman" w:hAnsi="Times New Roman"/>
                <w:szCs w:val="24"/>
              </w:rPr>
            </w:pPr>
          </w:p>
        </w:tc>
        <w:tc>
          <w:tcPr>
            <w:tcW w:w="186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Times New Roman" w:eastAsia="方正书宋_GBK" w:cs="Times New Roman" w:hAnsi="Times New Roman"/>
                <w:szCs w:val="24"/>
              </w:rPr>
            </w:pPr>
          </w:p>
        </w:tc>
        <w:tc>
          <w:tcPr>
            <w:tcW w:w="153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Times New Roman" w:eastAsia="方正书宋_GBK" w:cs="Times New Roman" w:hAnsi="Times New Roman"/>
                <w:szCs w:val="24"/>
              </w:rPr>
            </w:pPr>
          </w:p>
        </w:tc>
        <w:tc>
          <w:tcPr>
            <w:tcW w:w="2642"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Times New Roman" w:eastAsia="方正书宋_GBK" w:cs="Times New Roman" w:hAnsi="Times New Roman"/>
                <w:szCs w:val="24"/>
              </w:rPr>
            </w:pPr>
          </w:p>
        </w:tc>
        <w:tc>
          <w:tcPr>
            <w:tcW w:w="2640"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Times New Roman" w:eastAsia="方正书宋_GBK" w:cs="Times New Roman" w:hAnsi="Times New Roman"/>
                <w:szCs w:val="24"/>
              </w:rPr>
            </w:pPr>
          </w:p>
        </w:tc>
      </w:tr>
    </w:tbl>
    <w:p>
      <w:pPr>
        <w:spacing w:line="560" w:lineRule="exact"/>
        <w:rPr>
          <w:rFonts w:ascii="仿宋" w:eastAsia="仿宋"/>
          <w:b/>
          <w:color w:val="FF0000"/>
          <w:sz w:val="32"/>
          <w:szCs w:val="32"/>
        </w:rPr>
      </w:pPr>
    </w:p>
    <w:p>
      <w:pPr>
        <w:ind w:firstLineChars="200" w:firstLine="640"/>
        <w:rPr>
          <w:rFonts w:ascii="黑体" w:eastAsia="黑体" w:cs="Times New Roman"/>
          <w:sz w:val="32"/>
          <w:szCs w:val="32"/>
        </w:rPr>
      </w:pPr>
      <w:r>
        <w:rPr>
          <w:rFonts w:ascii="黑体" w:eastAsia="黑体" w:cs="Times New Roman" w:hint="eastAsia"/>
          <w:sz w:val="32"/>
          <w:szCs w:val="32"/>
        </w:rPr>
        <w:t>二、部门预算安排的总体情况</w:t>
      </w:r>
    </w:p>
    <w:p>
      <w:pPr>
        <w:ind w:firstLine="640"/>
        <w:rPr>
          <w:rFonts w:ascii="仿宋_GB2312" w:eastAsia="仿宋_GB2312" w:cs="Times New Roman"/>
          <w:sz w:val="32"/>
          <w:szCs w:val="32"/>
        </w:rPr>
      </w:pPr>
      <w:r>
        <w:rPr>
          <w:rFonts w:ascii="仿宋_GB2312" w:eastAsia="仿宋_GB2312" w:cs="Times New Roman" w:hint="eastAsia"/>
          <w:sz w:val="32"/>
          <w:szCs w:val="32"/>
        </w:rPr>
        <w:t>按照预算管理有关规定，目前我市部门预算的编制实行综合预算制度，即全部收入和支出都反映在预算中。因我部门除机关外，无其他下属预算单位，部门预算即为机关预算，不再单独公开机关预算和单位预算。</w:t>
      </w:r>
    </w:p>
    <w:p>
      <w:pPr>
        <w:ind w:firstLine="640"/>
        <w:rPr>
          <w:rFonts w:ascii="楷体_GB2312" w:eastAsia="楷体_GB2312" w:cs="Times New Roman"/>
          <w:b/>
          <w:sz w:val="32"/>
          <w:szCs w:val="32"/>
        </w:rPr>
      </w:pPr>
      <w:r>
        <w:rPr>
          <w:rFonts w:ascii="楷体_GB2312" w:eastAsia="楷体_GB2312" w:cs="Times New Roman" w:hint="eastAsia"/>
          <w:b/>
          <w:sz w:val="32"/>
          <w:szCs w:val="32"/>
        </w:rPr>
        <w:t>1、收入说明</w:t>
      </w:r>
    </w:p>
    <w:p>
      <w:pPr>
        <w:ind w:firstLineChars="200" w:firstLine="640"/>
        <w:rPr>
          <w:rFonts w:ascii="仿宋_GB2312" w:eastAsia="仿宋_GB2312" w:cs="Times New Roman"/>
          <w:sz w:val="32"/>
          <w:szCs w:val="32"/>
        </w:rPr>
      </w:pPr>
      <w:r>
        <w:rPr>
          <w:rFonts w:ascii="仿宋_GB2312" w:eastAsia="仿宋_GB2312" w:cs="Times New Roman" w:hint="eastAsia"/>
          <w:sz w:val="32"/>
          <w:szCs w:val="32"/>
        </w:rPr>
        <w:t>反映本部门当年全部收入。20</w:t>
      </w:r>
      <w:r>
        <w:rPr>
          <w:rFonts w:ascii="仿宋_GB2312" w:eastAsia="仿宋_GB2312" w:cs="Times New Roman"/>
          <w:sz w:val="32"/>
          <w:szCs w:val="32"/>
        </w:rPr>
        <w:t>2</w:t>
      </w:r>
      <w:r>
        <w:rPr>
          <w:rFonts w:ascii="仿宋_GB2312" w:eastAsia="仿宋_GB2312" w:cs="Times New Roman" w:hint="eastAsia"/>
          <w:sz w:val="32"/>
          <w:szCs w:val="32"/>
          <w:lang w:val="en-US" w:eastAsia="zh-CN"/>
        </w:rPr>
        <w:t>1</w:t>
      </w:r>
      <w:r>
        <w:rPr>
          <w:rFonts w:ascii="仿宋_GB2312" w:eastAsia="仿宋_GB2312" w:cs="Times New Roman" w:hint="eastAsia"/>
          <w:sz w:val="32"/>
          <w:szCs w:val="32"/>
        </w:rPr>
        <w:t>年预算收入</w:t>
      </w:r>
      <w:r>
        <w:rPr>
          <w:rFonts w:ascii="仿宋_GB2312" w:eastAsia="仿宋_GB2312" w:cs="Times New Roman" w:hint="eastAsia"/>
          <w:sz w:val="32"/>
          <w:szCs w:val="32"/>
          <w:lang w:val="en-US" w:eastAsia="zh-CN"/>
        </w:rPr>
        <w:t>4228.46</w:t>
      </w:r>
      <w:r>
        <w:rPr>
          <w:rFonts w:ascii="仿宋_GB2312" w:eastAsia="仿宋_GB2312" w:cs="Times New Roman" w:hint="eastAsia"/>
          <w:sz w:val="32"/>
          <w:szCs w:val="32"/>
        </w:rPr>
        <w:t>万元，其中：一般公共预算收入</w:t>
      </w:r>
      <w:r>
        <w:rPr>
          <w:rFonts w:ascii="仿宋_GB2312" w:eastAsia="仿宋_GB2312" w:cs="Times New Roman" w:hint="eastAsia"/>
          <w:sz w:val="32"/>
          <w:szCs w:val="32"/>
          <w:lang w:val="en-US" w:eastAsia="zh-CN"/>
        </w:rPr>
        <w:t>3728.46</w:t>
      </w:r>
      <w:r>
        <w:rPr>
          <w:rFonts w:ascii="仿宋_GB2312" w:eastAsia="仿宋_GB2312" w:cs="Times New Roman" w:hint="eastAsia"/>
          <w:sz w:val="32"/>
          <w:szCs w:val="32"/>
        </w:rPr>
        <w:t>万元，政府性基金预算收入</w:t>
      </w:r>
      <w:r>
        <w:rPr>
          <w:rFonts w:ascii="仿宋_GB2312" w:eastAsia="仿宋_GB2312" w:cs="Times New Roman" w:hint="eastAsia"/>
          <w:sz w:val="32"/>
          <w:szCs w:val="32"/>
          <w:lang w:val="en-US" w:eastAsia="zh-CN"/>
        </w:rPr>
        <w:t>500</w:t>
      </w:r>
      <w:r>
        <w:rPr>
          <w:rFonts w:ascii="仿宋_GB2312" w:eastAsia="仿宋_GB2312" w:cs="Times New Roman"/>
          <w:sz w:val="32"/>
          <w:szCs w:val="32"/>
        </w:rPr>
        <w:t>万元</w:t>
      </w:r>
      <w:r>
        <w:rPr>
          <w:rFonts w:ascii="仿宋_GB2312" w:eastAsia="仿宋_GB2312" w:cs="Times New Roman" w:hint="eastAsia"/>
          <w:sz w:val="32"/>
          <w:szCs w:val="32"/>
        </w:rPr>
        <w:t>，国有资本经营</w:t>
      </w:r>
      <w:r>
        <w:rPr>
          <w:rFonts w:ascii="仿宋_GB2312" w:eastAsia="仿宋_GB2312" w:cs="Times New Roman"/>
          <w:sz w:val="32"/>
          <w:szCs w:val="32"/>
        </w:rPr>
        <w:t>预算收入</w:t>
      </w:r>
      <w:r>
        <w:rPr>
          <w:rFonts w:ascii="仿宋_GB2312" w:eastAsia="仿宋_GB2312" w:cs="Times New Roman" w:hint="eastAsia"/>
          <w:sz w:val="32"/>
          <w:szCs w:val="32"/>
          <w:lang w:val="en-US" w:eastAsia="zh-CN"/>
        </w:rPr>
        <w:t>0</w:t>
      </w:r>
      <w:r>
        <w:rPr>
          <w:rFonts w:ascii="仿宋_GB2312" w:eastAsia="仿宋_GB2312" w:cs="Times New Roman"/>
          <w:sz w:val="32"/>
          <w:szCs w:val="32"/>
        </w:rPr>
        <w:t>万元</w:t>
      </w:r>
      <w:r>
        <w:rPr>
          <w:rFonts w:ascii="仿宋_GB2312" w:eastAsia="仿宋_GB2312" w:cs="Times New Roman" w:hint="eastAsia"/>
          <w:sz w:val="32"/>
          <w:szCs w:val="32"/>
        </w:rPr>
        <w:t>，</w:t>
      </w:r>
      <w:r>
        <w:rPr>
          <w:rFonts w:ascii="仿宋_GB2312" w:eastAsia="仿宋_GB2312" w:cs="Times New Roman"/>
          <w:sz w:val="32"/>
          <w:szCs w:val="32"/>
        </w:rPr>
        <w:t>上级补助收入</w:t>
      </w:r>
      <w:r>
        <w:rPr>
          <w:rFonts w:ascii="仿宋_GB2312" w:eastAsia="仿宋_GB2312" w:cs="Times New Roman" w:hint="eastAsia"/>
          <w:sz w:val="32"/>
          <w:szCs w:val="32"/>
          <w:lang w:val="en-US" w:eastAsia="zh-CN"/>
        </w:rPr>
        <w:t>0</w:t>
      </w:r>
      <w:r>
        <w:rPr>
          <w:rFonts w:ascii="仿宋_GB2312" w:eastAsia="仿宋_GB2312" w:cs="Times New Roman"/>
          <w:sz w:val="32"/>
          <w:szCs w:val="32"/>
        </w:rPr>
        <w:t>万元，</w:t>
      </w:r>
      <w:r>
        <w:rPr>
          <w:rFonts w:ascii="仿宋_GB2312" w:eastAsia="仿宋_GB2312" w:cs="Times New Roman" w:hint="eastAsia"/>
          <w:sz w:val="32"/>
          <w:szCs w:val="32"/>
        </w:rPr>
        <w:t>事业收入</w:t>
      </w:r>
      <w:r>
        <w:rPr>
          <w:rFonts w:ascii="仿宋_GB2312" w:eastAsia="仿宋_GB2312" w:cs="Times New Roman" w:hint="eastAsia"/>
          <w:sz w:val="32"/>
          <w:szCs w:val="32"/>
          <w:lang w:val="en-US" w:eastAsia="zh-CN"/>
        </w:rPr>
        <w:t>0</w:t>
      </w:r>
      <w:r>
        <w:rPr>
          <w:rFonts w:ascii="仿宋_GB2312" w:eastAsia="仿宋_GB2312" w:cs="Times New Roman" w:hint="eastAsia"/>
          <w:sz w:val="32"/>
          <w:szCs w:val="32"/>
        </w:rPr>
        <w:t>万元，经营</w:t>
      </w:r>
      <w:r>
        <w:rPr>
          <w:rFonts w:ascii="仿宋_GB2312" w:eastAsia="仿宋_GB2312" w:cs="Times New Roman"/>
          <w:sz w:val="32"/>
          <w:szCs w:val="32"/>
        </w:rPr>
        <w:t>收入</w:t>
      </w:r>
      <w:r>
        <w:rPr>
          <w:rFonts w:ascii="仿宋_GB2312" w:eastAsia="仿宋_GB2312" w:cs="Times New Roman" w:hint="eastAsia"/>
          <w:sz w:val="32"/>
          <w:szCs w:val="32"/>
          <w:lang w:val="en-US" w:eastAsia="zh-CN"/>
        </w:rPr>
        <w:t>0</w:t>
      </w:r>
      <w:r>
        <w:rPr>
          <w:rFonts w:ascii="仿宋_GB2312" w:eastAsia="仿宋_GB2312" w:cs="Times New Roman" w:hint="eastAsia"/>
          <w:sz w:val="32"/>
          <w:szCs w:val="32"/>
        </w:rPr>
        <w:t>万元，附属单位上缴</w:t>
      </w:r>
      <w:r>
        <w:rPr>
          <w:rFonts w:ascii="仿宋_GB2312" w:eastAsia="仿宋_GB2312" w:cs="Times New Roman"/>
          <w:sz w:val="32"/>
          <w:szCs w:val="32"/>
        </w:rPr>
        <w:t>收入</w:t>
      </w:r>
      <w:r>
        <w:rPr>
          <w:rFonts w:ascii="仿宋_GB2312" w:eastAsia="仿宋_GB2312" w:cs="Times New Roman" w:hint="eastAsia"/>
          <w:sz w:val="32"/>
          <w:szCs w:val="32"/>
          <w:lang w:val="en-US" w:eastAsia="zh-CN"/>
        </w:rPr>
        <w:t>0</w:t>
      </w:r>
      <w:r>
        <w:rPr>
          <w:rFonts w:ascii="仿宋_GB2312" w:eastAsia="仿宋_GB2312" w:cs="Times New Roman"/>
          <w:sz w:val="32"/>
          <w:szCs w:val="32"/>
        </w:rPr>
        <w:t>万元，</w:t>
      </w:r>
      <w:r>
        <w:rPr>
          <w:rFonts w:ascii="仿宋_GB2312" w:eastAsia="仿宋_GB2312" w:cs="Times New Roman" w:hint="eastAsia"/>
          <w:sz w:val="32"/>
          <w:szCs w:val="32"/>
        </w:rPr>
        <w:t>其他收入</w:t>
      </w:r>
      <w:r>
        <w:rPr>
          <w:rFonts w:ascii="仿宋_GB2312" w:eastAsia="仿宋_GB2312" w:cs="Times New Roman" w:hint="eastAsia"/>
          <w:sz w:val="32"/>
          <w:szCs w:val="32"/>
          <w:lang w:val="en-US" w:eastAsia="zh-CN"/>
        </w:rPr>
        <w:t>0</w:t>
      </w:r>
      <w:r>
        <w:rPr>
          <w:rFonts w:ascii="仿宋_GB2312" w:eastAsia="仿宋_GB2312" w:cs="Times New Roman" w:hint="eastAsia"/>
          <w:sz w:val="32"/>
          <w:szCs w:val="32"/>
        </w:rPr>
        <w:t>万元。</w:t>
      </w:r>
    </w:p>
    <w:p>
      <w:pPr>
        <w:ind w:firstLine="640"/>
        <w:rPr>
          <w:rFonts w:ascii="楷体_GB2312" w:eastAsia="楷体_GB2312" w:cs="Times New Roman"/>
          <w:b/>
          <w:sz w:val="32"/>
          <w:szCs w:val="32"/>
        </w:rPr>
      </w:pPr>
      <w:r>
        <w:rPr>
          <w:rFonts w:ascii="楷体_GB2312" w:eastAsia="楷体_GB2312" w:cs="Times New Roman" w:hint="eastAsia"/>
          <w:b/>
          <w:sz w:val="32"/>
          <w:szCs w:val="32"/>
        </w:rPr>
        <w:t>2、支出说明</w:t>
      </w:r>
    </w:p>
    <w:p>
      <w:pPr>
        <w:ind w:firstLine="640"/>
        <w:rPr>
          <w:rFonts w:ascii="仿宋_GB2312" w:eastAsia="仿宋_GB2312" w:cs="Times New Roman"/>
          <w:sz w:val="32"/>
          <w:szCs w:val="32"/>
        </w:rPr>
      </w:pPr>
      <w:r>
        <w:rPr>
          <w:rFonts w:ascii="仿宋_GB2312" w:eastAsia="仿宋_GB2312" w:cs="Times New Roman" w:hint="eastAsia"/>
          <w:sz w:val="32"/>
          <w:szCs w:val="32"/>
        </w:rPr>
        <w:t>收支预算总表支出栏、基本支出表、项目支出表按经济分类和支出功能分类科目编制，反映霸州市</w:t>
      </w:r>
      <w:r>
        <w:rPr>
          <w:rFonts w:ascii="仿宋_GB2312" w:eastAsia="仿宋_GB2312" w:cs="Times New Roman" w:hint="eastAsia"/>
          <w:sz w:val="32"/>
          <w:szCs w:val="32"/>
          <w:lang w:val="en-US" w:eastAsia="zh-CN"/>
        </w:rPr>
        <w:t>发展和改革局</w:t>
      </w:r>
      <w:r>
        <w:rPr>
          <w:rFonts w:ascii="仿宋_GB2312" w:eastAsia="仿宋_GB2312" w:cs="Times New Roman" w:hint="eastAsia"/>
          <w:sz w:val="32"/>
          <w:szCs w:val="32"/>
        </w:rPr>
        <w:t>20</w:t>
      </w:r>
      <w:r>
        <w:rPr>
          <w:rFonts w:ascii="仿宋_GB2312" w:eastAsia="仿宋_GB2312" w:cs="Times New Roman"/>
          <w:sz w:val="32"/>
          <w:szCs w:val="32"/>
        </w:rPr>
        <w:t>2</w:t>
      </w:r>
      <w:r>
        <w:rPr>
          <w:rFonts w:ascii="仿宋_GB2312" w:eastAsia="仿宋_GB2312" w:cs="Times New Roman" w:hint="eastAsia"/>
          <w:sz w:val="32"/>
          <w:szCs w:val="32"/>
          <w:lang w:val="en-US" w:eastAsia="zh-CN"/>
        </w:rPr>
        <w:t>1</w:t>
      </w:r>
      <w:r>
        <w:rPr>
          <w:rFonts w:ascii="仿宋_GB2312" w:eastAsia="仿宋_GB2312" w:cs="Times New Roman" w:hint="eastAsia"/>
          <w:sz w:val="32"/>
          <w:szCs w:val="32"/>
        </w:rPr>
        <w:t>年度部门预算中支出预算的总体情况。20</w:t>
      </w:r>
      <w:r>
        <w:rPr>
          <w:rFonts w:ascii="仿宋_GB2312" w:eastAsia="仿宋_GB2312" w:cs="Times New Roman"/>
          <w:sz w:val="32"/>
          <w:szCs w:val="32"/>
        </w:rPr>
        <w:t>2</w:t>
      </w:r>
      <w:r>
        <w:rPr>
          <w:rFonts w:ascii="仿宋_GB2312" w:eastAsia="仿宋_GB2312" w:cs="Times New Roman" w:hint="eastAsia"/>
          <w:sz w:val="32"/>
          <w:szCs w:val="32"/>
          <w:lang w:val="en-US" w:eastAsia="zh-CN"/>
        </w:rPr>
        <w:t>1</w:t>
      </w:r>
      <w:r>
        <w:rPr>
          <w:rFonts w:ascii="仿宋_GB2312" w:eastAsia="仿宋_GB2312" w:cs="Times New Roman" w:hint="eastAsia"/>
          <w:sz w:val="32"/>
          <w:szCs w:val="32"/>
        </w:rPr>
        <w:t>年本部门支出预算</w:t>
      </w:r>
      <w:r>
        <w:rPr>
          <w:rFonts w:ascii="仿宋_GB2312" w:eastAsia="仿宋_GB2312" w:cs="Times New Roman" w:hint="eastAsia"/>
          <w:sz w:val="32"/>
          <w:szCs w:val="32"/>
          <w:lang w:val="en-US" w:eastAsia="zh-CN"/>
        </w:rPr>
        <w:t>4228.46</w:t>
      </w:r>
      <w:r>
        <w:rPr>
          <w:rFonts w:ascii="仿宋_GB2312" w:eastAsia="仿宋_GB2312" w:cs="Times New Roman" w:hint="eastAsia"/>
          <w:sz w:val="32"/>
          <w:szCs w:val="32"/>
        </w:rPr>
        <w:t>万元，其中：基本支出</w:t>
      </w:r>
      <w:r>
        <w:rPr>
          <w:rFonts w:ascii="仿宋_GB2312" w:eastAsia="仿宋_GB2312" w:cs="Times New Roman" w:hint="eastAsia"/>
          <w:sz w:val="32"/>
          <w:szCs w:val="32"/>
          <w:lang w:val="en-US" w:eastAsia="zh-CN"/>
        </w:rPr>
        <w:t>1232.36</w:t>
      </w:r>
      <w:r>
        <w:rPr>
          <w:rFonts w:ascii="仿宋_GB2312" w:eastAsia="仿宋_GB2312" w:cs="Times New Roman" w:hint="eastAsia"/>
          <w:sz w:val="32"/>
          <w:szCs w:val="32"/>
        </w:rPr>
        <w:t>万元，包括：人员经费</w:t>
      </w:r>
      <w:r>
        <w:rPr>
          <w:rFonts w:ascii="仿宋_GB2312" w:eastAsia="仿宋_GB2312" w:cs="Times New Roman" w:hint="eastAsia"/>
          <w:sz w:val="32"/>
          <w:szCs w:val="32"/>
          <w:lang w:val="en-US" w:eastAsia="zh-CN"/>
        </w:rPr>
        <w:t>1117.11</w:t>
      </w:r>
      <w:r>
        <w:rPr>
          <w:rFonts w:ascii="仿宋_GB2312" w:eastAsia="仿宋_GB2312" w:cs="Times New Roman"/>
          <w:sz w:val="32"/>
          <w:szCs w:val="32"/>
        </w:rPr>
        <w:t>万元</w:t>
      </w:r>
      <w:r>
        <w:rPr>
          <w:rFonts w:ascii="仿宋_GB2312" w:eastAsia="仿宋_GB2312" w:cs="Times New Roman" w:hint="eastAsia"/>
          <w:sz w:val="32"/>
          <w:szCs w:val="32"/>
        </w:rPr>
        <w:t>和日常公用经费</w:t>
      </w:r>
      <w:r>
        <w:rPr>
          <w:rFonts w:ascii="仿宋_GB2312" w:eastAsia="仿宋_GB2312" w:cs="Times New Roman" w:hint="eastAsia"/>
          <w:sz w:val="32"/>
          <w:szCs w:val="32"/>
          <w:lang w:val="en-US" w:eastAsia="zh-CN"/>
        </w:rPr>
        <w:t>115.25</w:t>
      </w:r>
      <w:r>
        <w:rPr>
          <w:rFonts w:ascii="仿宋_GB2312" w:eastAsia="仿宋_GB2312" w:cs="Times New Roman"/>
          <w:sz w:val="32"/>
          <w:szCs w:val="32"/>
        </w:rPr>
        <w:t>万元</w:t>
      </w:r>
      <w:r>
        <w:rPr>
          <w:rFonts w:ascii="仿宋_GB2312" w:eastAsia="仿宋_GB2312" w:cs="Times New Roman" w:hint="eastAsia"/>
          <w:sz w:val="32"/>
          <w:szCs w:val="32"/>
        </w:rPr>
        <w:t>；项目支出</w:t>
      </w:r>
      <w:r>
        <w:rPr>
          <w:rFonts w:ascii="仿宋_GB2312" w:eastAsia="仿宋_GB2312" w:cs="Times New Roman" w:hint="eastAsia"/>
          <w:sz w:val="32"/>
          <w:szCs w:val="32"/>
          <w:lang w:val="en-US" w:eastAsia="zh-CN"/>
        </w:rPr>
        <w:t>2496.10</w:t>
      </w:r>
      <w:r>
        <w:rPr>
          <w:rFonts w:ascii="仿宋_GB2312" w:eastAsia="仿宋_GB2312" w:cs="Times New Roman" w:hint="eastAsia"/>
          <w:sz w:val="32"/>
          <w:szCs w:val="32"/>
        </w:rPr>
        <w:t>万元，全部为本级</w:t>
      </w:r>
      <w:r>
        <w:rPr>
          <w:rFonts w:ascii="仿宋_GB2312" w:eastAsia="仿宋_GB2312" w:cs="Times New Roman"/>
          <w:sz w:val="32"/>
          <w:szCs w:val="32"/>
        </w:rPr>
        <w:t>支出，</w:t>
      </w:r>
      <w:r>
        <w:rPr>
          <w:rFonts w:ascii="仿宋_GB2312" w:eastAsia="仿宋_GB2312" w:cs="Times New Roman" w:hint="eastAsia"/>
          <w:sz w:val="32"/>
          <w:szCs w:val="32"/>
        </w:rPr>
        <w:t>主要为</w:t>
      </w:r>
      <w:r>
        <w:rPr>
          <w:rFonts w:ascii="仿宋_GB2312" w:eastAsia="仿宋_GB2312" w:cs="Times New Roman" w:hint="eastAsia"/>
          <w:sz w:val="32"/>
          <w:szCs w:val="32"/>
          <w:lang w:eastAsia="zh-CN"/>
        </w:rPr>
        <w:t>《</w:t>
      </w:r>
      <w:r>
        <w:rPr>
          <w:rFonts w:ascii="仿宋_GB2312" w:eastAsia="仿宋_GB2312" w:cs="Times New Roman" w:hint="eastAsia"/>
          <w:sz w:val="32"/>
          <w:szCs w:val="32"/>
          <w:lang w:val="en-US" w:eastAsia="zh-CN"/>
        </w:rPr>
        <w:t>双创双服开展活动经费</w:t>
      </w:r>
      <w:r>
        <w:rPr>
          <w:rFonts w:ascii="仿宋_GB2312" w:eastAsia="仿宋_GB2312" w:cs="Times New Roman" w:hint="eastAsia"/>
          <w:sz w:val="32"/>
          <w:szCs w:val="32"/>
          <w:lang w:eastAsia="zh-CN"/>
        </w:rPr>
        <w:t>》、《</w:t>
      </w:r>
      <w:r>
        <w:rPr>
          <w:rFonts w:ascii="仿宋_GB2312" w:eastAsia="仿宋_GB2312" w:cs="Times New Roman" w:hint="eastAsia"/>
          <w:sz w:val="32"/>
          <w:szCs w:val="32"/>
          <w:lang w:val="en-US" w:eastAsia="zh-CN"/>
        </w:rPr>
        <w:t>采暖应急保障资金</w:t>
      </w:r>
      <w:r>
        <w:rPr>
          <w:rFonts w:ascii="仿宋_GB2312" w:eastAsia="仿宋_GB2312" w:cs="Times New Roman" w:hint="eastAsia"/>
          <w:sz w:val="32"/>
          <w:szCs w:val="32"/>
          <w:lang w:eastAsia="zh-CN"/>
        </w:rPr>
        <w:t>》、《</w:t>
      </w:r>
      <w:r>
        <w:rPr>
          <w:rFonts w:ascii="仿宋_GB2312" w:eastAsia="仿宋_GB2312" w:cs="Times New Roman" w:hint="eastAsia"/>
          <w:sz w:val="32"/>
          <w:szCs w:val="32"/>
          <w:lang w:val="en-US" w:eastAsia="zh-CN"/>
        </w:rPr>
        <w:t>霸州市“十四五”规划纲要编制经费</w:t>
      </w:r>
      <w:r>
        <w:rPr>
          <w:rFonts w:ascii="仿宋_GB2312" w:eastAsia="仿宋_GB2312" w:cs="Times New Roman" w:hint="eastAsia"/>
          <w:sz w:val="32"/>
          <w:szCs w:val="32"/>
          <w:lang w:eastAsia="zh-CN"/>
        </w:rPr>
        <w:t>》、《</w:t>
      </w:r>
      <w:r>
        <w:rPr>
          <w:rFonts w:ascii="仿宋_GB2312" w:eastAsia="仿宋_GB2312" w:cs="Times New Roman" w:hint="eastAsia"/>
          <w:sz w:val="32"/>
          <w:szCs w:val="32"/>
          <w:lang w:val="en-US" w:eastAsia="zh-CN"/>
        </w:rPr>
        <w:t>河北省企业技术中心奖励资金</w:t>
      </w:r>
      <w:r>
        <w:rPr>
          <w:rFonts w:ascii="仿宋_GB2312" w:eastAsia="仿宋_GB2312" w:cs="Times New Roman" w:hint="eastAsia"/>
          <w:sz w:val="32"/>
          <w:szCs w:val="32"/>
          <w:lang w:eastAsia="zh-CN"/>
        </w:rPr>
        <w:t>》、《</w:t>
      </w:r>
      <w:r>
        <w:rPr>
          <w:rFonts w:ascii="仿宋_GB2312" w:eastAsia="仿宋_GB2312" w:cs="Times New Roman" w:hint="eastAsia"/>
          <w:sz w:val="32"/>
          <w:szCs w:val="32"/>
          <w:lang w:val="en-US" w:eastAsia="zh-CN"/>
        </w:rPr>
        <w:t>企业改制人员生活费</w:t>
      </w:r>
      <w:r>
        <w:rPr>
          <w:rFonts w:ascii="仿宋_GB2312" w:eastAsia="仿宋_GB2312" w:cs="Times New Roman" w:hint="eastAsia"/>
          <w:sz w:val="32"/>
          <w:szCs w:val="32"/>
          <w:lang w:eastAsia="zh-CN"/>
        </w:rPr>
        <w:t>》</w:t>
      </w:r>
      <w:r>
        <w:rPr>
          <w:rFonts w:ascii="仿宋_GB2312" w:eastAsia="仿宋_GB2312" w:cs="Times New Roman" w:hint="eastAsia"/>
          <w:sz w:val="32"/>
          <w:szCs w:val="32"/>
        </w:rPr>
        <w:t>等；上缴上级支出</w:t>
      </w:r>
      <w:r>
        <w:rPr>
          <w:rFonts w:ascii="仿宋_GB2312" w:eastAsia="仿宋_GB2312" w:cs="Times New Roman" w:hint="eastAsia"/>
          <w:sz w:val="32"/>
          <w:szCs w:val="32"/>
          <w:lang w:val="en-US" w:eastAsia="zh-CN"/>
        </w:rPr>
        <w:t>0</w:t>
      </w:r>
      <w:r>
        <w:rPr>
          <w:rFonts w:ascii="仿宋_GB2312" w:eastAsia="仿宋_GB2312" w:cs="Times New Roman" w:hint="eastAsia"/>
          <w:sz w:val="32"/>
          <w:szCs w:val="32"/>
        </w:rPr>
        <w:t>万元，</w:t>
      </w:r>
      <w:r>
        <w:rPr>
          <w:rFonts w:ascii="仿宋_GB2312" w:eastAsia="仿宋_GB2312" w:cs="Times New Roman"/>
          <w:sz w:val="32"/>
          <w:szCs w:val="32"/>
        </w:rPr>
        <w:t>经营支出</w:t>
      </w:r>
      <w:r>
        <w:rPr>
          <w:rFonts w:ascii="仿宋_GB2312" w:eastAsia="仿宋_GB2312" w:cs="Times New Roman" w:hint="eastAsia"/>
          <w:sz w:val="32"/>
          <w:szCs w:val="32"/>
          <w:lang w:val="en-US" w:eastAsia="zh-CN"/>
        </w:rPr>
        <w:t>0</w:t>
      </w:r>
      <w:r>
        <w:rPr>
          <w:rFonts w:ascii="仿宋_GB2312" w:eastAsia="仿宋_GB2312" w:cs="Times New Roman"/>
          <w:sz w:val="32"/>
          <w:szCs w:val="32"/>
        </w:rPr>
        <w:t>万元，</w:t>
      </w:r>
      <w:r>
        <w:rPr>
          <w:rFonts w:ascii="仿宋_GB2312" w:eastAsia="仿宋_GB2312" w:cs="Times New Roman" w:hint="eastAsia"/>
          <w:sz w:val="32"/>
          <w:szCs w:val="32"/>
        </w:rPr>
        <w:t>对附属单位补助支出</w:t>
      </w:r>
      <w:r>
        <w:rPr>
          <w:rFonts w:ascii="仿宋_GB2312" w:eastAsia="仿宋_GB2312" w:cs="Times New Roman" w:hint="eastAsia"/>
          <w:sz w:val="32"/>
          <w:szCs w:val="32"/>
          <w:lang w:val="en-US" w:eastAsia="zh-CN"/>
        </w:rPr>
        <w:t>0</w:t>
      </w:r>
      <w:r>
        <w:rPr>
          <w:rFonts w:ascii="仿宋_GB2312" w:eastAsia="仿宋_GB2312" w:cs="Times New Roman" w:hint="eastAsia"/>
          <w:sz w:val="32"/>
          <w:szCs w:val="32"/>
        </w:rPr>
        <w:t>万元。</w:t>
      </w:r>
    </w:p>
    <w:p>
      <w:pPr>
        <w:ind w:firstLine="640"/>
        <w:rPr>
          <w:rFonts w:ascii="楷体_GB2312" w:eastAsia="楷体_GB2312" w:cs="Times New Roman"/>
          <w:b/>
          <w:sz w:val="32"/>
          <w:szCs w:val="32"/>
        </w:rPr>
      </w:pPr>
      <w:r>
        <w:rPr>
          <w:rFonts w:ascii="楷体_GB2312" w:eastAsia="楷体_GB2312" w:cs="Times New Roman" w:hint="eastAsia"/>
          <w:b/>
          <w:sz w:val="32"/>
          <w:szCs w:val="32"/>
        </w:rPr>
        <w:t>3、比上年增减情况</w:t>
      </w:r>
    </w:p>
    <w:p>
      <w:pPr>
        <w:shd w:val="clear" w:color="auto" w:fill="auto"/>
        <w:ind w:firstLine="640"/>
        <w:rPr>
          <w:rFonts w:ascii="仿宋_GB2312" w:eastAsia="仿宋_GB2312" w:cs="Times New Roman"/>
          <w:color w:val="000000"/>
          <w:sz w:val="32"/>
          <w:szCs w:val="32"/>
        </w:rPr>
      </w:pPr>
      <w:r>
        <w:rPr>
          <w:rFonts w:ascii="仿宋_GB2312" w:eastAsia="仿宋_GB2312" w:cs="Times New Roman" w:hint="eastAsia"/>
          <w:color w:val="000000"/>
          <w:sz w:val="32"/>
          <w:szCs w:val="32"/>
        </w:rPr>
        <w:t>20</w:t>
      </w:r>
      <w:r>
        <w:rPr>
          <w:rFonts w:ascii="仿宋_GB2312" w:eastAsia="仿宋_GB2312" w:cs="Times New Roman"/>
          <w:color w:val="000000"/>
          <w:sz w:val="32"/>
          <w:szCs w:val="32"/>
        </w:rPr>
        <w:t>2</w:t>
      </w:r>
      <w:r>
        <w:rPr>
          <w:rFonts w:ascii="仿宋_GB2312" w:eastAsia="仿宋_GB2312" w:cs="Times New Roman" w:hint="eastAsia"/>
          <w:color w:val="000000"/>
          <w:sz w:val="32"/>
          <w:szCs w:val="32"/>
          <w:lang w:val="en-US" w:eastAsia="zh-CN"/>
        </w:rPr>
        <w:t>1</w:t>
      </w:r>
      <w:r>
        <w:rPr>
          <w:rFonts w:ascii="仿宋_GB2312" w:eastAsia="仿宋_GB2312" w:cs="Times New Roman" w:hint="eastAsia"/>
          <w:color w:val="000000"/>
          <w:sz w:val="32"/>
          <w:szCs w:val="32"/>
        </w:rPr>
        <w:t>年预算收支安排</w:t>
      </w:r>
      <w:r>
        <w:rPr>
          <w:rFonts w:ascii="仿宋_GB2312" w:eastAsia="仿宋_GB2312" w:cs="Times New Roman" w:hint="eastAsia"/>
          <w:sz w:val="32"/>
          <w:szCs w:val="32"/>
          <w:lang w:val="en-US" w:eastAsia="zh-CN"/>
        </w:rPr>
        <w:t>4228.46</w:t>
      </w:r>
      <w:r>
        <w:rPr>
          <w:rFonts w:ascii="仿宋_GB2312" w:eastAsia="仿宋_GB2312" w:cs="Times New Roman" w:hint="eastAsia"/>
          <w:color w:val="000000"/>
          <w:sz w:val="32"/>
          <w:szCs w:val="32"/>
        </w:rPr>
        <w:t>万元，较20</w:t>
      </w:r>
      <w:r>
        <w:rPr>
          <w:rFonts w:ascii="仿宋_GB2312" w:eastAsia="仿宋_GB2312" w:cs="Times New Roman" w:hint="eastAsia"/>
          <w:color w:val="000000"/>
          <w:sz w:val="32"/>
          <w:szCs w:val="32"/>
          <w:lang w:val="en-US" w:eastAsia="zh-CN"/>
        </w:rPr>
        <w:t>20</w:t>
      </w:r>
      <w:r>
        <w:rPr>
          <w:rFonts w:ascii="仿宋_GB2312" w:eastAsia="仿宋_GB2312" w:cs="Times New Roman" w:hint="eastAsia"/>
          <w:color w:val="000000"/>
          <w:sz w:val="32"/>
          <w:szCs w:val="32"/>
        </w:rPr>
        <w:t>年预算</w:t>
      </w:r>
      <w:r>
        <w:rPr>
          <w:rFonts w:ascii="仿宋_GB2312" w:eastAsia="仿宋_GB2312" w:cs="Times New Roman" w:hint="eastAsia"/>
          <w:color w:val="000000"/>
          <w:sz w:val="32"/>
          <w:szCs w:val="32"/>
          <w:lang w:val="en-US" w:eastAsia="zh-CN"/>
        </w:rPr>
        <w:t>减少651.48</w:t>
      </w:r>
      <w:r>
        <w:rPr>
          <w:rFonts w:ascii="仿宋_GB2312" w:eastAsia="仿宋_GB2312" w:cs="Times New Roman" w:hint="eastAsia"/>
          <w:color w:val="auto"/>
          <w:sz w:val="32"/>
          <w:szCs w:val="32"/>
        </w:rPr>
        <w:t>万元，其中：基本支出</w:t>
      </w:r>
      <w:r>
        <w:rPr>
          <w:rFonts w:ascii="仿宋_GB2312" w:eastAsia="仿宋_GB2312" w:cs="Times New Roman" w:hint="eastAsia"/>
          <w:color w:val="000000"/>
          <w:sz w:val="32"/>
          <w:szCs w:val="32"/>
          <w:lang w:val="en-US" w:eastAsia="zh-CN"/>
        </w:rPr>
        <w:t>减少12.08</w:t>
      </w:r>
      <w:r>
        <w:rPr>
          <w:rFonts w:ascii="仿宋_GB2312" w:eastAsia="仿宋_GB2312" w:cs="Times New Roman" w:hint="eastAsia"/>
          <w:color w:val="000000"/>
          <w:sz w:val="32"/>
          <w:szCs w:val="32"/>
        </w:rPr>
        <w:t>万元，主要为增加</w:t>
      </w:r>
      <w:r>
        <w:rPr>
          <w:rFonts w:ascii="仿宋_GB2312" w:eastAsia="仿宋_GB2312" w:cs="Times New Roman" w:hint="eastAsia"/>
          <w:color w:val="000000"/>
          <w:sz w:val="32"/>
          <w:szCs w:val="32"/>
          <w:lang w:val="en-US" w:eastAsia="zh-CN"/>
        </w:rPr>
        <w:t>人员经费</w:t>
      </w:r>
      <w:r>
        <w:rPr>
          <w:rFonts w:ascii="仿宋_GB2312" w:eastAsia="仿宋_GB2312" w:cs="Times New Roman" w:hint="eastAsia"/>
          <w:color w:val="000000"/>
          <w:sz w:val="32"/>
          <w:szCs w:val="32"/>
        </w:rPr>
        <w:t>支出；项目支出减少</w:t>
      </w:r>
      <w:r>
        <w:rPr>
          <w:rFonts w:ascii="仿宋_GB2312" w:eastAsia="仿宋_GB2312" w:cs="Times New Roman" w:hint="eastAsia"/>
          <w:color w:val="000000"/>
          <w:sz w:val="32"/>
          <w:szCs w:val="32"/>
          <w:lang w:val="en-US" w:eastAsia="zh-CN"/>
        </w:rPr>
        <w:t>639.40</w:t>
      </w:r>
      <w:r>
        <w:rPr>
          <w:rFonts w:ascii="仿宋_GB2312" w:eastAsia="仿宋_GB2312" w:cs="Times New Roman" w:hint="eastAsia"/>
          <w:color w:val="000000"/>
          <w:sz w:val="32"/>
          <w:szCs w:val="32"/>
        </w:rPr>
        <w:t>万元，主要为减少</w:t>
      </w:r>
      <w:r>
        <w:rPr>
          <w:rFonts w:ascii="仿宋_GB2312" w:eastAsia="仿宋_GB2312" w:cs="Times New Roman" w:hint="eastAsia"/>
          <w:color w:val="000000"/>
          <w:sz w:val="32"/>
          <w:szCs w:val="32"/>
          <w:lang w:val="en-US" w:eastAsia="zh-CN"/>
        </w:rPr>
        <w:t>业务</w:t>
      </w:r>
      <w:r>
        <w:rPr>
          <w:rFonts w:ascii="仿宋_GB2312" w:eastAsia="仿宋_GB2312" w:cs="Times New Roman" w:hint="eastAsia"/>
          <w:color w:val="000000"/>
          <w:sz w:val="32"/>
          <w:szCs w:val="32"/>
        </w:rPr>
        <w:t>项目支</w:t>
      </w:r>
      <w:r>
        <w:rPr>
          <w:rFonts w:ascii="仿宋_GB2312" w:eastAsia="仿宋_GB2312" w:cs="Times New Roman" w:hint="eastAsia"/>
          <w:color w:val="auto"/>
          <w:sz w:val="32"/>
          <w:szCs w:val="32"/>
        </w:rPr>
        <w:t>出。</w:t>
      </w:r>
    </w:p>
    <w:p>
      <w:pPr>
        <w:ind w:firstLineChars="200" w:firstLine="640"/>
        <w:rPr>
          <w:rFonts w:ascii="黑体" w:eastAsia="黑体" w:cs="Times New Roman"/>
          <w:sz w:val="32"/>
          <w:szCs w:val="32"/>
        </w:rPr>
      </w:pPr>
      <w:r>
        <w:rPr>
          <w:rFonts w:ascii="黑体" w:eastAsia="黑体" w:cs="Times New Roman" w:hint="eastAsia"/>
          <w:sz w:val="32"/>
          <w:szCs w:val="32"/>
        </w:rPr>
        <w:t>三、机关运行经费安排情况</w:t>
      </w:r>
    </w:p>
    <w:p>
      <w:pPr>
        <w:ind w:firstLineChars="200" w:firstLine="640"/>
        <w:rPr>
          <w:rFonts w:ascii="仿宋_GB2312" w:eastAsia="仿宋_GB2312" w:cs="Times New Roman"/>
          <w:sz w:val="32"/>
          <w:szCs w:val="32"/>
        </w:rPr>
      </w:pPr>
      <w:r>
        <w:rPr>
          <w:rFonts w:ascii="仿宋_GB2312" w:eastAsia="仿宋_GB2312" w:cs="Times New Roman" w:hint="eastAsia"/>
          <w:sz w:val="32"/>
          <w:szCs w:val="32"/>
        </w:rPr>
        <w:t>机关运行经费共计安排</w:t>
      </w:r>
      <w:r>
        <w:rPr>
          <w:rFonts w:ascii="仿宋_GB2312" w:eastAsia="仿宋_GB2312" w:cs="Times New Roman" w:hint="eastAsia"/>
          <w:sz w:val="32"/>
          <w:szCs w:val="32"/>
          <w:lang w:val="en-US" w:eastAsia="zh-CN"/>
        </w:rPr>
        <w:t>115.25</w:t>
      </w:r>
      <w:r>
        <w:rPr>
          <w:rFonts w:ascii="仿宋_GB2312" w:eastAsia="仿宋_GB2312" w:cs="Times New Roman" w:hint="eastAsia"/>
          <w:sz w:val="32"/>
          <w:szCs w:val="32"/>
        </w:rPr>
        <w:t>万元，主要用于办公区的日常维修、办公用房水电费、办公用房取暖费、办公及印刷费，邮电费、差旅费、福利费及一般设备购置费、办公用房物业管理费、公务用车运行维护费等日常运行支出。</w:t>
      </w:r>
    </w:p>
    <w:p>
      <w:pPr>
        <w:ind w:firstLineChars="200" w:firstLine="640"/>
        <w:rPr>
          <w:rFonts w:ascii="黑体" w:eastAsia="黑体" w:cs="Times New Roman"/>
          <w:sz w:val="32"/>
          <w:szCs w:val="32"/>
        </w:rPr>
      </w:pPr>
      <w:r>
        <w:rPr>
          <w:rFonts w:ascii="黑体" w:eastAsia="黑体" w:cs="Times New Roman" w:hint="eastAsia"/>
          <w:sz w:val="32"/>
          <w:szCs w:val="32"/>
        </w:rPr>
        <w:t>四、财政拨款</w:t>
      </w:r>
      <w:r>
        <w:rPr>
          <w:rFonts w:ascii="黑体" w:eastAsia="黑体" w:cs="Times New Roman"/>
          <w:sz w:val="32"/>
          <w:szCs w:val="32"/>
        </w:rPr>
        <w:t>“</w:t>
      </w:r>
      <w:r>
        <w:rPr>
          <w:rFonts w:ascii="黑体" w:eastAsia="黑体" w:cs="Times New Roman" w:hint="eastAsia"/>
          <w:sz w:val="32"/>
          <w:szCs w:val="32"/>
        </w:rPr>
        <w:t>三公</w:t>
      </w:r>
      <w:r>
        <w:rPr>
          <w:rFonts w:ascii="黑体" w:eastAsia="黑体" w:cs="Times New Roman"/>
          <w:sz w:val="32"/>
          <w:szCs w:val="32"/>
        </w:rPr>
        <w:t>”</w:t>
      </w:r>
      <w:r>
        <w:rPr>
          <w:rFonts w:ascii="黑体" w:eastAsia="黑体" w:cs="Times New Roman" w:hint="eastAsia"/>
          <w:sz w:val="32"/>
          <w:szCs w:val="32"/>
        </w:rPr>
        <w:t>经费预算情况及增减变化原因</w:t>
      </w:r>
    </w:p>
    <w:p>
      <w:pPr>
        <w:ind w:firstLineChars="200" w:firstLine="640"/>
        <w:rPr>
          <w:rFonts w:ascii="仿宋_GB2312" w:eastAsia="仿宋_GB2312" w:cs="Times New Roman"/>
          <w:sz w:val="32"/>
          <w:szCs w:val="32"/>
        </w:rPr>
      </w:pPr>
      <w:r>
        <w:rPr>
          <w:rFonts w:ascii="仿宋_GB2312" w:eastAsia="仿宋_GB2312" w:cs="Times New Roman" w:hint="eastAsia"/>
          <w:sz w:val="32"/>
          <w:szCs w:val="32"/>
        </w:rPr>
        <w:t>20</w:t>
      </w:r>
      <w:r>
        <w:rPr>
          <w:rFonts w:ascii="仿宋_GB2312" w:eastAsia="仿宋_GB2312" w:cs="Times New Roman"/>
          <w:sz w:val="32"/>
          <w:szCs w:val="32"/>
        </w:rPr>
        <w:t>2</w:t>
      </w:r>
      <w:r>
        <w:rPr>
          <w:rFonts w:ascii="仿宋_GB2312" w:eastAsia="仿宋_GB2312" w:cs="Times New Roman" w:hint="eastAsia"/>
          <w:sz w:val="32"/>
          <w:szCs w:val="32"/>
          <w:lang w:val="en-US" w:eastAsia="zh-CN"/>
        </w:rPr>
        <w:t>1</w:t>
      </w:r>
      <w:r>
        <w:rPr>
          <w:rFonts w:ascii="仿宋_GB2312" w:eastAsia="仿宋_GB2312" w:cs="Times New Roman" w:hint="eastAsia"/>
          <w:sz w:val="32"/>
          <w:szCs w:val="32"/>
        </w:rPr>
        <w:t>年，我部门“三公”经费预算安排</w:t>
      </w:r>
      <w:r>
        <w:rPr>
          <w:rFonts w:ascii="仿宋_GB2312" w:eastAsia="仿宋_GB2312" w:cs="Times New Roman" w:hint="eastAsia"/>
          <w:sz w:val="32"/>
          <w:szCs w:val="32"/>
          <w:lang w:val="en-US" w:eastAsia="zh-CN"/>
        </w:rPr>
        <w:t>5.40</w:t>
      </w:r>
      <w:r>
        <w:rPr>
          <w:rFonts w:ascii="仿宋_GB2312" w:eastAsia="仿宋_GB2312" w:cs="Times New Roman" w:hint="eastAsia"/>
          <w:sz w:val="32"/>
          <w:szCs w:val="32"/>
        </w:rPr>
        <w:t>万元，其中：因公出国（境）费</w:t>
      </w:r>
      <w:r>
        <w:rPr>
          <w:rFonts w:ascii="仿宋_GB2312" w:eastAsia="仿宋_GB2312" w:cs="Times New Roman" w:hint="eastAsia"/>
          <w:sz w:val="32"/>
          <w:szCs w:val="32"/>
          <w:lang w:val="en-US" w:eastAsia="zh-CN"/>
        </w:rPr>
        <w:t>0</w:t>
      </w:r>
      <w:r>
        <w:rPr>
          <w:rFonts w:ascii="仿宋_GB2312" w:eastAsia="仿宋_GB2312" w:cs="Times New Roman" w:hint="eastAsia"/>
          <w:sz w:val="32"/>
          <w:szCs w:val="32"/>
        </w:rPr>
        <w:t>万元；公务用车购置及运维费</w:t>
      </w:r>
      <w:r>
        <w:rPr>
          <w:rFonts w:ascii="仿宋_GB2312" w:eastAsia="仿宋_GB2312" w:cs="Times New Roman" w:hint="eastAsia"/>
          <w:sz w:val="32"/>
          <w:szCs w:val="32"/>
          <w:lang w:val="en-US" w:eastAsia="zh-CN"/>
        </w:rPr>
        <w:t>5</w:t>
      </w:r>
      <w:r>
        <w:rPr>
          <w:rFonts w:ascii="仿宋_GB2312" w:eastAsia="仿宋_GB2312" w:cs="Times New Roman" w:hint="eastAsia"/>
          <w:sz w:val="32"/>
          <w:szCs w:val="32"/>
        </w:rPr>
        <w:t>万元（其中：公务用车购置费</w:t>
      </w:r>
      <w:r>
        <w:rPr>
          <w:rFonts w:ascii="仿宋_GB2312" w:eastAsia="仿宋_GB2312" w:cs="Times New Roman" w:hint="eastAsia"/>
          <w:sz w:val="32"/>
          <w:szCs w:val="32"/>
          <w:lang w:val="en-US" w:eastAsia="zh-CN"/>
        </w:rPr>
        <w:t>0</w:t>
      </w:r>
      <w:r>
        <w:rPr>
          <w:rFonts w:ascii="仿宋_GB2312" w:eastAsia="仿宋_GB2312" w:cs="Times New Roman" w:hint="eastAsia"/>
          <w:sz w:val="32"/>
          <w:szCs w:val="32"/>
        </w:rPr>
        <w:t>万元，公务用车运行维护费</w:t>
      </w:r>
      <w:r>
        <w:rPr>
          <w:rFonts w:ascii="仿宋_GB2312" w:eastAsia="仿宋_GB2312" w:cs="Times New Roman" w:hint="eastAsia"/>
          <w:sz w:val="32"/>
          <w:szCs w:val="32"/>
          <w:lang w:val="en-US" w:eastAsia="zh-CN"/>
        </w:rPr>
        <w:t>5</w:t>
      </w:r>
      <w:r>
        <w:rPr>
          <w:rFonts w:ascii="仿宋_GB2312" w:eastAsia="仿宋_GB2312" w:cs="Times New Roman" w:hint="eastAsia"/>
          <w:sz w:val="32"/>
          <w:szCs w:val="32"/>
        </w:rPr>
        <w:t>万元)；公务接待费</w:t>
      </w:r>
      <w:r>
        <w:rPr>
          <w:rFonts w:ascii="仿宋_GB2312" w:eastAsia="仿宋_GB2312" w:cs="Times New Roman" w:hint="eastAsia"/>
          <w:sz w:val="32"/>
          <w:szCs w:val="32"/>
          <w:lang w:val="en-US" w:eastAsia="zh-CN"/>
        </w:rPr>
        <w:t>0.40</w:t>
      </w:r>
      <w:r>
        <w:rPr>
          <w:rFonts w:ascii="仿宋_GB2312" w:eastAsia="仿宋_GB2312" w:cs="Times New Roman" w:hint="eastAsia"/>
          <w:sz w:val="32"/>
          <w:szCs w:val="32"/>
        </w:rPr>
        <w:t>万元，较20</w:t>
      </w:r>
      <w:r>
        <w:rPr>
          <w:rFonts w:ascii="仿宋_GB2312" w:eastAsia="仿宋_GB2312" w:cs="Times New Roman" w:hint="eastAsia"/>
          <w:sz w:val="32"/>
          <w:szCs w:val="32"/>
          <w:lang w:val="en-US" w:eastAsia="zh-CN"/>
        </w:rPr>
        <w:t>20</w:t>
      </w:r>
      <w:r>
        <w:rPr>
          <w:rFonts w:ascii="仿宋_GB2312" w:eastAsia="仿宋_GB2312" w:cs="Times New Roman" w:hint="eastAsia"/>
          <w:sz w:val="32"/>
          <w:szCs w:val="32"/>
        </w:rPr>
        <w:t>年“三公”经费</w:t>
      </w:r>
      <w:r>
        <w:rPr>
          <w:rFonts w:ascii="仿宋_GB2312" w:eastAsia="仿宋_GB2312" w:cs="Times New Roman" w:hint="eastAsia"/>
          <w:sz w:val="32"/>
          <w:szCs w:val="32"/>
          <w:lang w:val="en-US" w:eastAsia="zh-CN"/>
        </w:rPr>
        <w:t>增加3.61</w:t>
      </w:r>
      <w:r>
        <w:rPr>
          <w:rFonts w:ascii="仿宋_GB2312" w:eastAsia="仿宋_GB2312" w:cs="Times New Roman" w:hint="eastAsia"/>
          <w:sz w:val="32"/>
          <w:szCs w:val="32"/>
        </w:rPr>
        <w:t>万元，主要是因为</w:t>
      </w:r>
      <w:r>
        <w:rPr>
          <w:rFonts w:ascii="仿宋_GB2312" w:eastAsia="仿宋_GB2312" w:cs="Times New Roman" w:hint="eastAsia"/>
          <w:sz w:val="32"/>
          <w:szCs w:val="32"/>
          <w:lang w:val="en-US" w:eastAsia="zh-CN"/>
        </w:rPr>
        <w:t>机构改革，将原粮食局和原物价局合并到本单位，人员增加，经费也增长。</w:t>
      </w:r>
    </w:p>
    <w:p>
      <w:pPr>
        <w:ind w:firstLineChars="200" w:firstLine="640"/>
        <w:rPr>
          <w:rFonts w:ascii="黑体" w:eastAsia="黑体" w:cs="Times New Roman"/>
          <w:sz w:val="32"/>
          <w:szCs w:val="32"/>
        </w:rPr>
      </w:pPr>
      <w:r>
        <w:rPr>
          <w:rFonts w:ascii="黑体" w:eastAsia="黑体" w:cs="Times New Roman" w:hint="eastAsia"/>
          <w:sz w:val="32"/>
          <w:szCs w:val="32"/>
        </w:rPr>
        <w:t>五、预算绩效信息</w:t>
      </w:r>
    </w:p>
    <w:p>
      <w:pPr>
        <w:autoSpaceDE w:val="0"/>
        <w:autoSpaceDN w:val="0"/>
        <w:adjustRightInd w:val="0"/>
        <w:ind w:firstLineChars="200" w:firstLine="640"/>
        <w:jc w:val="left"/>
        <w:rPr>
          <w:rFonts w:ascii="楷体_GB2312" w:eastAsia="楷体_GB2312" w:cs="Times New Roman"/>
          <w:b/>
          <w:sz w:val="32"/>
          <w:szCs w:val="32"/>
        </w:rPr>
      </w:pPr>
      <w:bookmarkStart w:id="2" w:name="_Toc471398463"/>
      <w:r>
        <w:rPr>
          <w:rFonts w:ascii="楷体_GB2312" w:eastAsia="楷体_GB2312" w:cs="Times New Roman" w:hint="eastAsia"/>
          <w:b/>
          <w:sz w:val="32"/>
          <w:szCs w:val="32"/>
        </w:rPr>
        <w:t>第一部分 部门整体绩效</w:t>
      </w:r>
      <w:r>
        <w:rPr>
          <w:rFonts w:ascii="楷体_GB2312" w:eastAsia="楷体_GB2312" w:cs="Times New Roman"/>
          <w:b/>
          <w:sz w:val="32"/>
          <w:szCs w:val="32"/>
        </w:rPr>
        <w:t>目标</w:t>
      </w:r>
    </w:p>
    <w:p>
      <w:pPr>
        <w:spacing w:beforeLines="50" w:before="156" w:afterLines="50" w:after="156"/>
        <w:ind w:firstLineChars="200" w:firstLine="640"/>
        <w:jc w:val="left"/>
        <w:outlineLvl w:val="1"/>
        <w:rPr>
          <w:rFonts w:ascii="仿宋" w:eastAsia="仿宋" w:cs="仿宋" w:hint="eastAsia"/>
          <w:sz w:val="32"/>
          <w:szCs w:val="32"/>
        </w:rPr>
      </w:pPr>
      <w:bookmarkStart w:id="3" w:name="_Toc65759941"/>
      <w:bookmarkEnd w:id="2"/>
      <w:r>
        <w:rPr>
          <w:rFonts w:ascii="仿宋" w:eastAsia="仿宋" w:cs="仿宋" w:hint="eastAsia"/>
          <w:sz w:val="32"/>
          <w:szCs w:val="32"/>
        </w:rPr>
        <w:t>一、总体绩效目标</w:t>
      </w:r>
      <w:bookmarkEnd w:id="3"/>
      <w:r>
        <w:rPr>
          <w:rFonts w:ascii="仿宋" w:eastAsia="仿宋" w:cs="仿宋" w:hint="eastAsia"/>
          <w:vanish/>
          <w:sz w:val="32"/>
          <w:szCs w:val="32"/>
        </w:rPr>
        <w:t>{ TC 总体绩效目标 \f A \l 1 }</w:t>
      </w:r>
    </w:p>
    <w:p>
      <w:pPr>
        <w:spacing w:line="500" w:lineRule="exact"/>
        <w:ind w:firstLineChars="200" w:firstLine="640"/>
        <w:jc w:val="left"/>
        <w:rPr>
          <w:rFonts w:ascii="仿宋" w:eastAsia="仿宋" w:cs="仿宋" w:hint="eastAsia"/>
          <w:sz w:val="32"/>
          <w:szCs w:val="32"/>
        </w:rPr>
      </w:pPr>
      <w:r>
        <w:rPr>
          <w:rFonts w:ascii="仿宋" w:eastAsia="仿宋" w:cs="仿宋" w:hint="eastAsia"/>
          <w:sz w:val="32"/>
          <w:szCs w:val="32"/>
        </w:rPr>
        <w:t>贯彻落实国家宏观调控政策,统筹提出全市国民经济和社会发展主要目标,监测预测预警宏观经济和社会发展态势趋势,提岀经济调节政策建议。综合协调经济调节政策,牵头研究应对措施。调节经济运行,协调解决经济运行中的重大问题。拟订并组织实施有关价格政策,组织制定由县级管理的重要商品、服务价格和重要收费标准。参与贯彻落实省、市财政政策、货币政策和土地政策。推进落实区域协调发展战略、新型城镇化战略和重大政策,组织拟订相关区域规划和政策。推进实施京津冀协同发展等区域发展战略。组织编制并推动实施新型城镇化规划。承担市委财经委员会、市推进京津冀协同发展工作组织落实国家、省有关粮食流通和物资储备的法律、法规和政策。落实国家、省粮食行业发展规划和政策，制定全市粮食行业发展并组织实施。拟订全市粮食流通、市级粮食储备和物资储备的政策和规章制度并组织实施。承担全市粮食流通宏观调控，落实国家粮食购销政策，组织实施县级粮食、食糖和救灾物资等物资的收储、轮换和日常管理，落实有关动用计划和指令。贯彻落实国家粮食和物资储备仓储管理有关技术标准和规范。指导全市粮食流通和物资储备体制改革。承担粮食安全责任制考核日常工作。负责全市口岸规划、建设、开放和管理工作。</w:t>
      </w:r>
    </w:p>
    <w:p>
      <w:pPr>
        <w:spacing w:beforeLines="50" w:before="156" w:afterLines="50" w:after="156" w:line="500" w:lineRule="exact"/>
        <w:ind w:firstLineChars="200" w:firstLine="640"/>
        <w:jc w:val="left"/>
        <w:outlineLvl w:val="1"/>
        <w:rPr>
          <w:rFonts w:ascii="仿宋" w:eastAsia="仿宋" w:cs="仿宋" w:hint="eastAsia"/>
          <w:sz w:val="32"/>
          <w:szCs w:val="32"/>
        </w:rPr>
      </w:pPr>
      <w:bookmarkStart w:id="4" w:name="_Toc65759942"/>
      <w:r>
        <w:rPr>
          <w:rFonts w:ascii="仿宋" w:eastAsia="仿宋" w:cs="仿宋" w:hint="eastAsia"/>
          <w:sz w:val="32"/>
          <w:szCs w:val="32"/>
        </w:rPr>
        <w:t>二、分项绩效目标</w:t>
      </w:r>
      <w:bookmarkEnd w:id="4"/>
      <w:r>
        <w:rPr>
          <w:rFonts w:ascii="仿宋" w:eastAsia="仿宋" w:cs="仿宋" w:hint="eastAsia"/>
          <w:vanish/>
          <w:sz w:val="32"/>
          <w:szCs w:val="32"/>
        </w:rPr>
        <w:t>{ TC 分项绩效目标 \f A \l 1 }</w:t>
      </w:r>
    </w:p>
    <w:p>
      <w:pPr>
        <w:spacing w:line="500" w:lineRule="exact"/>
        <w:ind w:firstLineChars="200" w:firstLine="640"/>
        <w:jc w:val="left"/>
        <w:rPr>
          <w:rFonts w:ascii="仿宋" w:eastAsia="仿宋" w:cs="仿宋" w:hint="eastAsia"/>
          <w:sz w:val="32"/>
          <w:szCs w:val="32"/>
        </w:rPr>
      </w:pPr>
      <w:r>
        <w:rPr>
          <w:rFonts w:ascii="仿宋" w:eastAsia="仿宋" w:cs="仿宋" w:hint="eastAsia"/>
          <w:sz w:val="32"/>
          <w:szCs w:val="32"/>
        </w:rPr>
        <w:t>分项绩效目标</w:t>
      </w:r>
    </w:p>
    <w:p>
      <w:pPr>
        <w:spacing w:line="500" w:lineRule="exact"/>
        <w:ind w:firstLineChars="200" w:firstLine="640"/>
        <w:jc w:val="left"/>
        <w:rPr>
          <w:rFonts w:ascii="仿宋" w:eastAsia="仿宋" w:cs="仿宋" w:hint="eastAsia"/>
          <w:sz w:val="32"/>
          <w:szCs w:val="32"/>
        </w:rPr>
      </w:pPr>
      <w:r>
        <w:rPr>
          <w:rFonts w:ascii="仿宋" w:eastAsia="仿宋" w:cs="仿宋" w:hint="eastAsia"/>
          <w:sz w:val="32"/>
          <w:szCs w:val="32"/>
        </w:rPr>
        <w:t>（一）编制完成《霸州市国民经济和社会发展第十四个五年规划纲要》</w:t>
      </w:r>
    </w:p>
    <w:p>
      <w:pPr>
        <w:spacing w:line="500" w:lineRule="exact"/>
        <w:ind w:firstLineChars="200" w:firstLine="640"/>
        <w:jc w:val="left"/>
        <w:rPr>
          <w:rFonts w:ascii="仿宋" w:eastAsia="仿宋" w:cs="仿宋" w:hint="eastAsia"/>
          <w:sz w:val="32"/>
          <w:szCs w:val="32"/>
        </w:rPr>
      </w:pPr>
      <w:r>
        <w:rPr>
          <w:rFonts w:ascii="仿宋" w:eastAsia="仿宋" w:cs="仿宋" w:hint="eastAsia"/>
          <w:sz w:val="32"/>
          <w:szCs w:val="32"/>
        </w:rPr>
        <w:t>绩效目标：编制完成《霸州市国民经济和社会发展第十四个五年规划纲要》，贯彻落实国家、省和廊坊市相关政策任务，解决我市经济发展面临的问题，并经专家组论证，经市政府常务会、市委常委会、市人代会审议通过。</w:t>
      </w:r>
    </w:p>
    <w:p>
      <w:pPr>
        <w:spacing w:line="500" w:lineRule="exact"/>
        <w:ind w:firstLineChars="200" w:firstLine="640"/>
        <w:jc w:val="left"/>
        <w:rPr>
          <w:rFonts w:ascii="仿宋" w:eastAsia="仿宋" w:cs="仿宋" w:hint="eastAsia"/>
          <w:sz w:val="32"/>
          <w:szCs w:val="32"/>
        </w:rPr>
      </w:pPr>
      <w:r>
        <w:rPr>
          <w:rFonts w:ascii="仿宋" w:eastAsia="仿宋" w:cs="仿宋" w:hint="eastAsia"/>
          <w:sz w:val="32"/>
          <w:szCs w:val="32"/>
        </w:rPr>
        <w:t>绩效指标：规划数量=1套;通过专家论证，验收合格=100%;对霸州市国民经济和社会发展影响的持续时间≥5年；在社会各界征求意见过程中，未收到异议的编制内容占比≥90%。</w:t>
      </w:r>
    </w:p>
    <w:p>
      <w:pPr>
        <w:spacing w:line="500" w:lineRule="exact"/>
        <w:ind w:firstLineChars="200" w:firstLine="640"/>
        <w:jc w:val="left"/>
        <w:rPr>
          <w:rFonts w:ascii="仿宋" w:eastAsia="仿宋" w:cs="仿宋" w:hint="eastAsia"/>
          <w:sz w:val="32"/>
          <w:szCs w:val="32"/>
        </w:rPr>
      </w:pPr>
      <w:r>
        <w:rPr>
          <w:rFonts w:ascii="仿宋" w:eastAsia="仿宋" w:cs="仿宋" w:hint="eastAsia"/>
          <w:sz w:val="32"/>
          <w:szCs w:val="32"/>
        </w:rPr>
        <w:t>（二）编制完成建设“优质粮食工程”</w:t>
      </w:r>
    </w:p>
    <w:p>
      <w:pPr>
        <w:spacing w:line="500" w:lineRule="exact"/>
        <w:ind w:firstLineChars="200" w:firstLine="640"/>
        <w:jc w:val="left"/>
        <w:rPr>
          <w:rFonts w:ascii="仿宋" w:eastAsia="仿宋" w:cs="仿宋" w:hint="eastAsia"/>
          <w:sz w:val="32"/>
          <w:szCs w:val="32"/>
        </w:rPr>
      </w:pPr>
      <w:r>
        <w:rPr>
          <w:rFonts w:ascii="仿宋" w:eastAsia="仿宋" w:cs="仿宋" w:hint="eastAsia"/>
          <w:sz w:val="32"/>
          <w:szCs w:val="32"/>
        </w:rPr>
        <w:t>绩效目标：本项目计划对“益津粮油购销第一有限公司产后服务中心”和“益津粮油购销第二有限公司产后服务中心”2家企业现有场地、仓库进行维修，新建罩棚、地坪，购置清理、烘干、输送、除尘、通风、粮食质量快检和常规检测设备等。通过实施本项目，提高储粮能力达到10000吨，每日烘干粮食最高可达到5000吨。粮食收储能力显著增强，市场议价能力明显增强，粮食优质优价得以有效保障，粮食损失大幅降低，专业化服务水平显著提高。</w:t>
      </w:r>
    </w:p>
    <w:p>
      <w:pPr>
        <w:spacing w:line="500" w:lineRule="exact"/>
        <w:ind w:firstLineChars="200" w:firstLine="640"/>
        <w:jc w:val="left"/>
        <w:rPr>
          <w:rFonts w:ascii="仿宋" w:eastAsia="仿宋" w:cs="仿宋" w:hint="eastAsia"/>
          <w:sz w:val="32"/>
          <w:szCs w:val="32"/>
        </w:rPr>
      </w:pPr>
      <w:r>
        <w:rPr>
          <w:rFonts w:ascii="仿宋" w:eastAsia="仿宋" w:cs="仿宋" w:hint="eastAsia"/>
          <w:sz w:val="32"/>
          <w:szCs w:val="32"/>
        </w:rPr>
        <w:t>绩效指标：对第二公司仓内保温吊顶的施工面积=4675平方米；对第一公司地坪维修面积=1732平方米；对第一公司仓房墙体粉刷面积=9200平方米；对第一公司消防管道及配套设施进行完善=1套；招标程序是否符合规定，包括施工单选定、设计、监理单位选定的规范性=100%；储量能力提高情况≥10000吨；通过问卷调查，反映满意单位占调查单位的比例≥95%。</w:t>
      </w:r>
    </w:p>
    <w:p>
      <w:pPr>
        <w:spacing w:line="500" w:lineRule="exact"/>
        <w:ind w:firstLineChars="200" w:firstLine="640"/>
        <w:jc w:val="left"/>
        <w:rPr>
          <w:rFonts w:ascii="仿宋" w:eastAsia="仿宋" w:cs="仿宋" w:hint="eastAsia"/>
          <w:sz w:val="32"/>
          <w:szCs w:val="32"/>
        </w:rPr>
      </w:pPr>
      <w:r>
        <w:rPr>
          <w:rFonts w:ascii="仿宋" w:eastAsia="仿宋" w:cs="仿宋" w:hint="eastAsia"/>
          <w:sz w:val="32"/>
          <w:szCs w:val="32"/>
        </w:rPr>
        <w:t>（三）编制完成奖补重点3个燃气企业</w:t>
      </w:r>
    </w:p>
    <w:p>
      <w:pPr>
        <w:spacing w:line="500" w:lineRule="exact"/>
        <w:ind w:firstLineChars="200" w:firstLine="640"/>
        <w:jc w:val="left"/>
        <w:rPr>
          <w:rFonts w:ascii="仿宋" w:eastAsia="仿宋" w:cs="仿宋" w:hint="eastAsia"/>
          <w:sz w:val="32"/>
          <w:szCs w:val="32"/>
        </w:rPr>
      </w:pPr>
      <w:r>
        <w:rPr>
          <w:rFonts w:ascii="仿宋" w:eastAsia="仿宋" w:cs="仿宋" w:hint="eastAsia"/>
          <w:sz w:val="32"/>
          <w:szCs w:val="32"/>
        </w:rPr>
        <w:t>绩效目标：通过审核把关，对重点燃气企业进行奖补=3个；实际发放的补助金金额占审计结果发放金额的比率=100%；项目总预算成本=2000万元；通过对重点燃气企业执行奖补资金，保障其正常运行，因资金短缺出现的非正常运行几率小与0；百姓使用燃气满意度及企业得到奖补资金后积极供燃气保障民生用燃气≥98%</w:t>
      </w:r>
    </w:p>
    <w:p>
      <w:pPr>
        <w:spacing w:line="500" w:lineRule="exact"/>
        <w:ind w:firstLineChars="200" w:firstLine="640"/>
        <w:jc w:val="left"/>
        <w:rPr>
          <w:rFonts w:ascii="仿宋" w:eastAsia="仿宋" w:cs="仿宋" w:hint="eastAsia"/>
          <w:sz w:val="32"/>
          <w:szCs w:val="32"/>
        </w:rPr>
      </w:pPr>
      <w:r>
        <w:rPr>
          <w:rFonts w:ascii="仿宋" w:eastAsia="仿宋" w:cs="仿宋" w:hint="eastAsia"/>
          <w:sz w:val="32"/>
          <w:szCs w:val="32"/>
        </w:rPr>
        <w:t>（四）编制完成会计师事务所度相关企业进行成本监审，出具成本监审报告，为定价提供数据支持</w:t>
      </w:r>
    </w:p>
    <w:p>
      <w:pPr>
        <w:spacing w:line="500" w:lineRule="exact"/>
        <w:ind w:firstLineChars="200" w:firstLine="640"/>
        <w:jc w:val="left"/>
        <w:rPr>
          <w:rFonts w:ascii="仿宋" w:eastAsia="仿宋" w:cs="仿宋" w:hint="eastAsia"/>
          <w:sz w:val="32"/>
          <w:szCs w:val="32"/>
        </w:rPr>
      </w:pPr>
      <w:r>
        <w:rPr>
          <w:rFonts w:ascii="仿宋" w:eastAsia="仿宋" w:cs="仿宋" w:hint="eastAsia"/>
          <w:sz w:val="32"/>
          <w:szCs w:val="32"/>
        </w:rPr>
        <w:t>绩效目标：科学、有效地组织规范成本监审工作，保障成本监审数据的真实性、及时性、准确性，及时、全面组织开展价格监测工作，保障数据的真实性、及时性、准确性。</w:t>
      </w:r>
    </w:p>
    <w:p>
      <w:pPr>
        <w:spacing w:line="500" w:lineRule="exact"/>
        <w:ind w:firstLineChars="200" w:firstLine="640"/>
        <w:jc w:val="left"/>
        <w:rPr>
          <w:rFonts w:ascii="仿宋" w:eastAsia="仿宋" w:cs="仿宋" w:hint="eastAsia"/>
          <w:sz w:val="32"/>
          <w:szCs w:val="32"/>
        </w:rPr>
      </w:pPr>
      <w:r>
        <w:rPr>
          <w:rFonts w:ascii="仿宋" w:eastAsia="仿宋" w:cs="仿宋" w:hint="eastAsia"/>
          <w:sz w:val="32"/>
          <w:szCs w:val="32"/>
        </w:rPr>
        <w:t>绩效指标：对出租车成本监审、南水北调成本监审、天然气成本监审，出具成本监审的数据报告数量≥3个；价格监测点数量=18个；对18个点44种应急物资价格变动情况出具报告≥18个。</w:t>
      </w:r>
    </w:p>
    <w:p>
      <w:pPr>
        <w:spacing w:beforeLines="50" w:before="156" w:afterLines="50" w:after="156" w:line="500" w:lineRule="exact"/>
        <w:ind w:firstLineChars="200" w:firstLine="640"/>
        <w:jc w:val="left"/>
        <w:outlineLvl w:val="1"/>
        <w:rPr>
          <w:rFonts w:ascii="仿宋" w:eastAsia="仿宋" w:cs="仿宋" w:hint="eastAsia"/>
          <w:sz w:val="32"/>
          <w:szCs w:val="32"/>
        </w:rPr>
      </w:pPr>
      <w:bookmarkStart w:id="5" w:name="_Toc65759943"/>
      <w:r>
        <w:rPr>
          <w:rFonts w:ascii="仿宋" w:eastAsia="仿宋" w:cs="仿宋" w:hint="eastAsia"/>
          <w:sz w:val="32"/>
          <w:szCs w:val="32"/>
        </w:rPr>
        <w:t>三、工作保障措施</w:t>
      </w:r>
      <w:bookmarkEnd w:id="5"/>
      <w:r>
        <w:rPr>
          <w:rFonts w:ascii="仿宋" w:eastAsia="仿宋" w:cs="仿宋" w:hint="eastAsia"/>
          <w:vanish/>
          <w:sz w:val="32"/>
          <w:szCs w:val="32"/>
        </w:rPr>
        <w:t>{ TC 工作保障措施 \f A \l 1 }</w:t>
      </w:r>
    </w:p>
    <w:p>
      <w:pPr>
        <w:spacing w:line="500" w:lineRule="exact"/>
        <w:ind w:firstLineChars="200" w:firstLine="640"/>
        <w:jc w:val="left"/>
        <w:rPr>
          <w:rFonts w:ascii="仿宋" w:eastAsia="仿宋" w:cs="仿宋" w:hint="eastAsia"/>
          <w:sz w:val="32"/>
          <w:szCs w:val="32"/>
        </w:rPr>
      </w:pPr>
      <w:r>
        <w:rPr>
          <w:rFonts w:ascii="仿宋" w:eastAsia="仿宋" w:cs="仿宋" w:hint="eastAsia"/>
          <w:sz w:val="32"/>
          <w:szCs w:val="32"/>
        </w:rPr>
        <w:t>工作保障措施</w:t>
      </w:r>
    </w:p>
    <w:p>
      <w:pPr>
        <w:spacing w:line="500" w:lineRule="exact"/>
        <w:ind w:firstLineChars="200" w:firstLine="640"/>
        <w:jc w:val="left"/>
        <w:rPr>
          <w:rFonts w:ascii="仿宋" w:eastAsia="仿宋" w:cs="仿宋" w:hint="eastAsia"/>
          <w:sz w:val="32"/>
          <w:szCs w:val="32"/>
        </w:rPr>
      </w:pPr>
      <w:r>
        <w:rPr>
          <w:rFonts w:ascii="仿宋" w:eastAsia="仿宋" w:cs="仿宋" w:hint="eastAsia"/>
          <w:sz w:val="32"/>
          <w:szCs w:val="32"/>
        </w:rPr>
        <w:t>(一）完善制度建设。</w:t>
      </w:r>
    </w:p>
    <w:p>
      <w:pPr>
        <w:spacing w:line="500" w:lineRule="exact"/>
        <w:ind w:firstLineChars="200" w:firstLine="640"/>
        <w:jc w:val="left"/>
        <w:rPr>
          <w:rFonts w:ascii="仿宋" w:eastAsia="仿宋" w:cs="仿宋" w:hint="eastAsia"/>
          <w:sz w:val="32"/>
          <w:szCs w:val="32"/>
        </w:rPr>
      </w:pPr>
      <w:r>
        <w:rPr>
          <w:rFonts w:ascii="仿宋" w:eastAsia="仿宋" w:cs="仿宋" w:hint="eastAsia"/>
          <w:sz w:val="32"/>
          <w:szCs w:val="32"/>
        </w:rPr>
        <w:t>制定完善预算绩效管理制度、资金管理办法、工作保障制度等，为全年预算绩效目标的实现奠定制度基础。</w:t>
      </w:r>
    </w:p>
    <w:p>
      <w:pPr>
        <w:spacing w:line="500" w:lineRule="exact"/>
        <w:ind w:firstLineChars="200" w:firstLine="640"/>
        <w:jc w:val="left"/>
        <w:rPr>
          <w:rFonts w:ascii="仿宋" w:eastAsia="仿宋" w:cs="仿宋" w:hint="eastAsia"/>
          <w:sz w:val="32"/>
          <w:szCs w:val="32"/>
        </w:rPr>
      </w:pPr>
      <w:r>
        <w:rPr>
          <w:rFonts w:ascii="仿宋" w:eastAsia="仿宋" w:cs="仿宋" w:hint="eastAsia"/>
          <w:sz w:val="32"/>
          <w:szCs w:val="32"/>
        </w:rPr>
        <w:t>（二）加强支出管理。</w:t>
      </w:r>
    </w:p>
    <w:p>
      <w:pPr>
        <w:spacing w:line="500" w:lineRule="exact"/>
        <w:ind w:firstLineChars="200" w:firstLine="640"/>
        <w:jc w:val="left"/>
        <w:rPr>
          <w:rFonts w:ascii="仿宋" w:eastAsia="仿宋" w:cs="仿宋" w:hint="eastAsia"/>
          <w:sz w:val="32"/>
          <w:szCs w:val="32"/>
        </w:rPr>
      </w:pPr>
      <w:r>
        <w:rPr>
          <w:rFonts w:ascii="仿宋" w:eastAsia="仿宋" w:cs="仿宋" w:hint="eastAsia"/>
          <w:sz w:val="32"/>
          <w:szCs w:val="32"/>
        </w:rPr>
        <w:t>通过优化支出结构、编细编实预算、加快履行政府采购手续、尽快启动项目、及时支付资金、6月底前细化代编预算、按规定及时下达资金等多种措施，确保支出进度达标。</w:t>
      </w:r>
    </w:p>
    <w:p>
      <w:pPr>
        <w:spacing w:line="500" w:lineRule="exact"/>
        <w:ind w:firstLineChars="200" w:firstLine="640"/>
        <w:jc w:val="left"/>
        <w:rPr>
          <w:rFonts w:ascii="仿宋" w:eastAsia="仿宋" w:cs="仿宋" w:hint="eastAsia"/>
          <w:sz w:val="32"/>
          <w:szCs w:val="32"/>
        </w:rPr>
      </w:pPr>
      <w:r>
        <w:rPr>
          <w:rFonts w:ascii="仿宋" w:eastAsia="仿宋" w:cs="仿宋" w:hint="eastAsia"/>
          <w:sz w:val="32"/>
          <w:szCs w:val="32"/>
        </w:rPr>
        <w:t>（三）加强绩效运行监控。</w:t>
      </w:r>
    </w:p>
    <w:p>
      <w:pPr>
        <w:spacing w:line="500" w:lineRule="exact"/>
        <w:ind w:firstLineChars="200" w:firstLine="640"/>
        <w:jc w:val="left"/>
        <w:rPr>
          <w:rFonts w:ascii="仿宋" w:eastAsia="仿宋" w:cs="仿宋" w:hint="eastAsia"/>
          <w:sz w:val="32"/>
          <w:szCs w:val="32"/>
        </w:rPr>
      </w:pPr>
      <w:r>
        <w:rPr>
          <w:rFonts w:ascii="仿宋" w:eastAsia="仿宋" w:cs="仿宋" w:hint="eastAsia"/>
          <w:sz w:val="32"/>
          <w:szCs w:val="32"/>
        </w:rPr>
        <w:t>按要求开展绩效运行监控，发现问题及时采取措施，确保绩效目标如期保质实现。</w:t>
      </w:r>
    </w:p>
    <w:p>
      <w:pPr>
        <w:spacing w:line="500" w:lineRule="exact"/>
        <w:ind w:firstLineChars="200" w:firstLine="640"/>
        <w:jc w:val="left"/>
        <w:rPr>
          <w:rFonts w:ascii="仿宋" w:eastAsia="仿宋" w:cs="仿宋" w:hint="eastAsia"/>
          <w:sz w:val="32"/>
          <w:szCs w:val="32"/>
        </w:rPr>
      </w:pPr>
      <w:r>
        <w:rPr>
          <w:rFonts w:ascii="仿宋" w:eastAsia="仿宋" w:cs="仿宋" w:hint="eastAsia"/>
          <w:sz w:val="32"/>
          <w:szCs w:val="32"/>
        </w:rPr>
        <w:t>（四）做好绩效自评。</w:t>
      </w:r>
    </w:p>
    <w:p>
      <w:pPr>
        <w:spacing w:line="500" w:lineRule="exact"/>
        <w:ind w:firstLineChars="200" w:firstLine="640"/>
        <w:jc w:val="left"/>
        <w:rPr>
          <w:rFonts w:ascii="仿宋" w:eastAsia="仿宋" w:cs="仿宋" w:hint="eastAsia"/>
          <w:sz w:val="32"/>
          <w:szCs w:val="32"/>
        </w:rPr>
      </w:pPr>
      <w:r>
        <w:rPr>
          <w:rFonts w:ascii="仿宋" w:eastAsia="仿宋" w:cs="仿宋" w:hint="eastAsia"/>
          <w:sz w:val="32"/>
          <w:szCs w:val="32"/>
        </w:rPr>
        <w:t>按要求开展上年度部门预算绩效自评和重点评价工作，对评价中发现的问题及时整改，调整优化支出结构，提高财政资金使用效益。</w:t>
      </w:r>
    </w:p>
    <w:p>
      <w:pPr>
        <w:spacing w:line="500" w:lineRule="exact"/>
        <w:ind w:firstLineChars="200" w:firstLine="640"/>
        <w:jc w:val="left"/>
        <w:rPr>
          <w:rFonts w:ascii="仿宋" w:eastAsia="仿宋" w:cs="仿宋" w:hint="eastAsia"/>
          <w:sz w:val="32"/>
          <w:szCs w:val="32"/>
        </w:rPr>
      </w:pPr>
      <w:r>
        <w:rPr>
          <w:rFonts w:ascii="仿宋" w:eastAsia="仿宋" w:cs="仿宋" w:hint="eastAsia"/>
          <w:sz w:val="32"/>
          <w:szCs w:val="32"/>
        </w:rPr>
        <w:t>（五）规范财务资产管理。</w:t>
      </w:r>
    </w:p>
    <w:p>
      <w:pPr>
        <w:spacing w:line="500" w:lineRule="exact"/>
        <w:ind w:firstLineChars="200" w:firstLine="640"/>
        <w:jc w:val="left"/>
        <w:rPr>
          <w:rFonts w:ascii="仿宋" w:eastAsia="仿宋" w:cs="仿宋" w:hint="eastAsia"/>
          <w:sz w:val="32"/>
          <w:szCs w:val="32"/>
        </w:rPr>
      </w:pPr>
      <w:r>
        <w:rPr>
          <w:rFonts w:ascii="仿宋" w:eastAsia="仿宋" w:cs="仿宋" w:hint="eastAsia"/>
          <w:sz w:val="32"/>
          <w:szCs w:val="32"/>
        </w:rPr>
        <w:t>完善财务管理制度，严格审批程序，加强固定资产登记、使用和报废处置管理，做到支出合理，物尽其用。</w:t>
      </w:r>
    </w:p>
    <w:p>
      <w:pPr>
        <w:spacing w:line="500" w:lineRule="exact"/>
        <w:ind w:firstLineChars="200" w:firstLine="640"/>
        <w:jc w:val="left"/>
        <w:rPr>
          <w:rFonts w:ascii="仿宋" w:eastAsia="仿宋" w:cs="仿宋" w:hint="eastAsia"/>
          <w:sz w:val="32"/>
          <w:szCs w:val="32"/>
        </w:rPr>
      </w:pPr>
      <w:r>
        <w:rPr>
          <w:rFonts w:ascii="仿宋" w:eastAsia="仿宋" w:cs="仿宋" w:hint="eastAsia"/>
          <w:sz w:val="32"/>
          <w:szCs w:val="32"/>
        </w:rPr>
        <w:t>（六）加强内部监督。</w:t>
      </w:r>
    </w:p>
    <w:p>
      <w:pPr>
        <w:spacing w:line="500" w:lineRule="exact"/>
        <w:ind w:firstLineChars="200" w:firstLine="640"/>
        <w:jc w:val="left"/>
        <w:rPr>
          <w:rFonts w:ascii="仿宋" w:eastAsia="仿宋" w:cs="仿宋" w:hint="eastAsia"/>
          <w:sz w:val="32"/>
          <w:szCs w:val="32"/>
        </w:rPr>
      </w:pPr>
      <w:r>
        <w:rPr>
          <w:rFonts w:ascii="仿宋" w:eastAsia="仿宋" w:cs="仿宋" w:hint="eastAsia"/>
          <w:sz w:val="32"/>
          <w:szCs w:val="32"/>
        </w:rPr>
        <w:t>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spacing w:line="500" w:lineRule="exact"/>
        <w:ind w:firstLineChars="200" w:firstLine="640"/>
        <w:jc w:val="left"/>
        <w:rPr>
          <w:rFonts w:ascii="仿宋" w:eastAsia="仿宋" w:cs="仿宋" w:hint="eastAsia"/>
          <w:sz w:val="32"/>
          <w:szCs w:val="32"/>
        </w:rPr>
      </w:pPr>
      <w:r>
        <w:rPr>
          <w:rFonts w:ascii="仿宋" w:eastAsia="仿宋" w:cs="仿宋" w:hint="eastAsia"/>
          <w:sz w:val="32"/>
          <w:szCs w:val="32"/>
        </w:rPr>
        <w:t>（七）加强宣传培训调研等。</w:t>
      </w:r>
    </w:p>
    <w:p>
      <w:pPr>
        <w:spacing w:line="500" w:lineRule="exact"/>
        <w:ind w:firstLineChars="200" w:firstLine="640"/>
        <w:jc w:val="left"/>
        <w:rPr>
          <w:rFonts w:ascii="仿宋" w:eastAsia="仿宋" w:cs="仿宋" w:hint="eastAsia"/>
          <w:sz w:val="32"/>
          <w:szCs w:val="32"/>
        </w:rPr>
      </w:pPr>
      <w:r>
        <w:rPr>
          <w:rFonts w:ascii="仿宋" w:eastAsia="仿宋" w:cs="仿宋" w:hint="eastAsia"/>
          <w:sz w:val="32"/>
          <w:szCs w:val="32"/>
        </w:rPr>
        <w:t>加强人员培训，提高本部门职工业务素质；加强调研，提出优化财政资金配置、提高资金使用效益的意见意见；加大宣传力度，强化预算绩效管理意识，促进预算绩效管理水平进一步提升。</w:t>
      </w:r>
    </w:p>
    <w:p>
      <w:pPr>
        <w:numPr>
          <w:ilvl w:val="0"/>
          <w:numId w:val="1"/>
        </w:numPr>
        <w:ind w:left="0" w:firstLineChars="200" w:firstLine="640"/>
        <w:jc w:val="both"/>
        <w:outlineLvl w:val="0"/>
        <w:rPr>
          <w:rFonts w:ascii="黑体" w:eastAsia="黑体" w:cs="黑体" w:hint="eastAsia"/>
          <w:sz w:val="32"/>
          <w:szCs w:val="32"/>
        </w:rPr>
      </w:pPr>
      <w:r>
        <w:rPr>
          <w:rFonts w:ascii="黑体" w:eastAsia="黑体" w:cs="黑体" w:hint="eastAsia"/>
          <w:sz w:val="32"/>
          <w:szCs w:val="32"/>
        </w:rPr>
        <w:t>预算项目绩效目标</w:t>
      </w:r>
    </w:p>
    <w:p>
      <w:pPr>
        <w:ind w:firstLineChars="200" w:firstLine="560"/>
        <w:jc w:val="left"/>
        <w:outlineLvl w:val="3"/>
        <w:rPr>
          <w:rFonts w:ascii="Times New Roman" w:hAnsi="Times New Roman"/>
          <w:b/>
          <w:sz w:val="28"/>
        </w:rPr>
      </w:pPr>
      <w:bookmarkStart w:id="6" w:name="_Toc65759944"/>
      <w:r>
        <w:rPr>
          <w:rFonts w:ascii="方正仿宋_GBK" w:eastAsia="方正仿宋_GBK" w:hint="eastAsia"/>
          <w:b/>
          <w:sz w:val="28"/>
        </w:rPr>
        <w:t>1.双创双服开展活动经费★绩效目标表</w:t>
      </w:r>
      <w:bookmarkEnd w:id="6"/>
      <w:r>
        <w:rPr>
          <w:rFonts w:ascii="方正仿宋_GBK" w:eastAsia="方正仿宋_GBK"/>
          <w:b/>
          <w:vanish/>
          <w:sz w:val="28"/>
        </w:rPr>
        <w:t xml:space="preserve">{ </w:t>
      </w:r>
      <w:r>
        <w:rPr>
          <w:rFonts w:ascii="方正仿宋_GBK" w:eastAsia="方正仿宋_GBK" w:hint="eastAsia"/>
          <w:b/>
          <w:vanish/>
          <w:sz w:val="28"/>
        </w:rPr>
        <w:t>TC 1、双创双服开展活动经费★绩效目标表 \f C \l 1</w:t>
      </w:r>
      <w:r>
        <w:rPr>
          <w:rFonts w:ascii="方正仿宋_GBK" w:eastAsia="方正仿宋_GBK"/>
          <w:b/>
          <w:vanish/>
          <w:sz w:val="28"/>
        </w:rPr>
        <w:t xml:space="preserve"> }</w:t>
      </w:r>
    </w:p>
    <w:tbl>
      <w:tblPr>
        <w:jc w:val="center"/>
        <w:tblW w:w="94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rPr>
          <w:trHeight w:val="397"/>
        </w:trPr>
        <w:tc>
          <w:tcPr>
            <w:tcW w:w="7711" w:type="dxa"/>
            <w:gridSpan w:val="6"/>
            <w:tcBorders>
              <w:top w:val="single" w:sz="6" w:space="0" w:color="FFFFFF"/>
              <w:left w:val="single" w:sz="6" w:space="0" w:color="FFFFFF"/>
              <w:bottom w:val="single" w:sz="6" w:space="0" w:color="000000"/>
              <w:right w:val="single" w:sz="6" w:space="0" w:color="FFFFFF"/>
            </w:tcBorders>
            <w:shd w:val="clear" w:color="auto" w:fill="auto"/>
            <w:vAlign w:val="center"/>
          </w:tcPr>
          <w:p>
            <w:pPr>
              <w:spacing w:line="300" w:lineRule="exact"/>
              <w:jc w:val="left"/>
              <w:rPr>
                <w:rFonts w:ascii="方正书宋_GBK" w:eastAsia="方正书宋_GBK"/>
                <w:b/>
              </w:rPr>
            </w:pPr>
            <w:r>
              <w:rPr>
                <w:rFonts w:ascii="方正书宋_GBK" w:eastAsia="方正书宋_GBK" w:hint="eastAsia"/>
                <w:b/>
              </w:rPr>
              <w:t>810001霸州市发展和改革局本级</w:t>
            </w:r>
          </w:p>
        </w:tc>
        <w:tc>
          <w:tcPr>
            <w:tcW w:w="1701" w:type="dxa"/>
            <w:tcBorders>
              <w:top w:val="single" w:sz="6" w:space="0" w:color="FFFFFF"/>
              <w:left w:val="single" w:sz="6" w:space="0" w:color="FFFFFF"/>
              <w:bottom w:val="single" w:sz="6" w:space="0" w:color="000000"/>
              <w:right w:val="single" w:sz="6" w:space="0" w:color="FFFFFF"/>
            </w:tcBorders>
            <w:shd w:val="clear" w:color="auto" w:fill="auto"/>
            <w:vAlign w:val="center"/>
          </w:tcPr>
          <w:p>
            <w:pPr>
              <w:spacing w:line="300" w:lineRule="exact"/>
              <w:jc w:val="right"/>
              <w:rPr>
                <w:rFonts w:ascii="方正书宋_GBK" w:eastAsia="方正书宋_GBK"/>
              </w:rPr>
            </w:pPr>
            <w:r>
              <w:rPr>
                <w:rFonts w:ascii="方正书宋_GBK" w:eastAsia="方正书宋_GBK" w:hint="eastAsia"/>
              </w:rPr>
              <w:t>单位：万元</w:t>
            </w:r>
          </w:p>
        </w:tc>
      </w:tr>
      <w:tr>
        <w:trPr>
          <w:trHeight w:val="369"/>
        </w:trPr>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rPr>
              <w:t>131081214MQD2I74OGRQR</w:t>
            </w:r>
          </w:p>
        </w:tc>
        <w:tc>
          <w:tcPr>
            <w:tcW w:w="1587"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双创双服开展活动经费★</w:t>
            </w:r>
          </w:p>
        </w:tc>
      </w:tr>
      <w:tr>
        <w:trPr>
          <w:trHeight w:val="369"/>
        </w:trPr>
        <w:tc>
          <w:tcPr>
            <w:tcW w:w="113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预算数</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rPr>
              <w:t>3.50</w:t>
            </w:r>
          </w:p>
        </w:tc>
        <w:tc>
          <w:tcPr>
            <w:tcW w:w="1587"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rPr>
              <w:t>3.50</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其他资金</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rPr>
              <w:t>0</w:t>
            </w:r>
          </w:p>
        </w:tc>
      </w:tr>
      <w:tr>
        <w:trPr>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8278"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按照活动安排，第一季度完成方案的编纂及下发宣传资料，召开3次活动动员会。第二季度开展年度工作推进会并逐步开展督导检查工作。按照活动要求，随时对政策内容进行宣传及对各涉项单位、民营企业及全市市民进行督导，宣传。半年开一次新闻发布会及半年总结会，2020年10月前对双创双服活动进行总结、考核，召开总结会及新闻发布会。全年针对活动开展情况，宣传典型经验做法，进一步烘托全市双创双服活动氛围。</w:t>
            </w:r>
          </w:p>
        </w:tc>
      </w:tr>
      <w:tr>
        <w:trPr>
          <w:trHeight w:val="369"/>
        </w:trPr>
        <w:tc>
          <w:tcPr>
            <w:tcW w:w="113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资金支出计划（%）</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3月底</w:t>
            </w:r>
          </w:p>
        </w:tc>
        <w:tc>
          <w:tcPr>
            <w:tcW w:w="1587"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6月底</w:t>
            </w:r>
          </w:p>
        </w:tc>
        <w:tc>
          <w:tcPr>
            <w:tcW w:w="130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10月底</w:t>
            </w:r>
          </w:p>
        </w:tc>
        <w:tc>
          <w:tcPr>
            <w:tcW w:w="297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12月底</w:t>
            </w:r>
          </w:p>
        </w:tc>
      </w:tr>
      <w:tr>
        <w:trPr>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c>
          <w:tcPr>
            <w:tcW w:w="1587"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c>
          <w:tcPr>
            <w:tcW w:w="130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rPr>
          <w:trHeight w:val="369"/>
        </w:trPr>
        <w:tc>
          <w:tcPr>
            <w:tcW w:w="1134" w:type="dxa"/>
            <w:tcBorders>
              <w:top w:val="single" w:sz="6" w:space="0" w:color="000000"/>
              <w:left w:val="single" w:sz="6" w:space="0" w:color="000000"/>
              <w:bottom w:val="nil"/>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top w:val="single" w:sz="6" w:space="0" w:color="000000"/>
              <w:left w:val="single" w:sz="6" w:space="0" w:color="000000"/>
              <w:bottom w:val="nil"/>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1.按照工作要求，开展双创双服开展活动，加护筹备召开3次全市大会，印刷会议相关资料不低于100本及制作宣传展板等，召开2次新闻发布会，每月开展督导活动一年不低于20次，宣传典型经验做法，进一步烘托全市双创双服活动氛围。</w:t>
            </w:r>
          </w:p>
        </w:tc>
      </w:tr>
    </w:tbl>
    <w:p>
      <w:pPr>
        <w:spacing w:line="14" w:lineRule="exact"/>
        <w:jc w:val="center"/>
        <w:rPr>
          <w:rFonts w:ascii="Times New Roman" w:hAnsi="Times New Roman"/>
        </w:rPr>
      </w:pPr>
      <w:r>
        <w:rPr>
          <w:rFonts w:ascii="方正书宋_GBK" w:eastAsia="方正书宋_GBK"/>
        </w:rPr>
        <w:t xml:space="preserve"> </w:t>
      </w:r>
    </w:p>
    <w:tbl>
      <w:tblPr>
        <w:jc w:val="center"/>
        <w:tblW w:w="94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134"/>
        <w:gridCol w:w="1134"/>
        <w:gridCol w:w="1276"/>
        <w:gridCol w:w="2891"/>
        <w:gridCol w:w="1276"/>
        <w:gridCol w:w="1701"/>
      </w:tblGrid>
      <w:tr>
        <w:trPr>
          <w:cantSplit/>
          <w:trHeight w:val="397"/>
          <w:tblHeader/>
        </w:trPr>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一级指标</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二级指标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三级指标</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指标值</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指标值确定依据</w:t>
            </w:r>
          </w:p>
        </w:tc>
      </w:tr>
      <w:tr>
        <w:trPr>
          <w:cantSplit/>
          <w:trHeight w:val="369"/>
        </w:trPr>
        <w:tc>
          <w:tcPr>
            <w:tcW w:w="113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r>
              <w:rPr>
                <w:rFonts w:ascii="方正书宋_GBK" w:eastAsia="方正书宋_GBK" w:hint="eastAsia"/>
              </w:rPr>
              <w:t>产出指标</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数量指标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开展督导活动次数</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按照活动要求，对活动涉项单位及项目进展情况进行督查</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≥20次</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计划指标</w:t>
            </w:r>
          </w:p>
        </w:tc>
      </w:tr>
      <w:tr>
        <w:trPr>
          <w:cantSplit/>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数量指标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印刷相关宣传资料</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印刷相关宣传资料</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≥1500次</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计划指标</w:t>
            </w:r>
          </w:p>
        </w:tc>
      </w:tr>
      <w:tr>
        <w:trPr>
          <w:cantSplit/>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质量指标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项目实施质量考核标准</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廊坊市出台了具体的考核办法，以该考核结果为准</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廊坊考核结果为准</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计划指标</w:t>
            </w:r>
          </w:p>
        </w:tc>
      </w:tr>
      <w:tr>
        <w:trPr>
          <w:cantSplit/>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时效指标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按时完成率</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各项工作按时完成率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rPr>
              <w:t>100%</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计划指标</w:t>
            </w:r>
          </w:p>
        </w:tc>
      </w:tr>
      <w:tr>
        <w:trPr>
          <w:cantSplit/>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成本指标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项目资金预算控制数</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项目资金预算控制数</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≤3.5万元</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计划指标</w:t>
            </w:r>
          </w:p>
        </w:tc>
      </w:tr>
      <w:tr>
        <w:trPr>
          <w:cantSplit/>
          <w:trHeight w:val="369"/>
        </w:trPr>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hint="eastAsia"/>
              </w:rPr>
            </w:pPr>
            <w:r>
              <w:rPr>
                <w:rFonts w:ascii="方正书宋_GBK" w:eastAsia="方正书宋_GBK" w:hint="eastAsia"/>
              </w:rPr>
              <w:t>效益指标</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社会效益指标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双创双服活动各项工作年度完成率</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各单位年度任务完成率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rPr>
              <w:t>100%</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计划指标</w:t>
            </w:r>
          </w:p>
        </w:tc>
      </w:tr>
      <w:tr>
        <w:trPr>
          <w:cantSplit/>
          <w:trHeight w:val="369"/>
        </w:trPr>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hint="eastAsia"/>
              </w:rPr>
            </w:pPr>
            <w:r>
              <w:rPr>
                <w:rFonts w:ascii="方正书宋_GBK" w:eastAsia="方正书宋_GBK" w:hint="eastAsia"/>
              </w:rPr>
              <w:t>满意度指标</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服务对象满意度指标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活动参与人员满意度</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参与的企业、单位、群众满意和比较满意数量占被调查总数的比例</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≥90%</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计划指标</w:t>
            </w:r>
          </w:p>
        </w:tc>
      </w:tr>
    </w:tbl>
    <w:p>
      <w:pPr>
        <w:spacing w:line="300" w:lineRule="exact"/>
        <w:jc w:val="left"/>
        <w:sectPr>
          <w:pgSz w:w="11907" w:h="16839"/>
          <w:pgMar w:top="1984" w:right="1304" w:bottom="1134" w:left="1304" w:header="851" w:footer="992" w:gutter="0"/>
          <w:docGrid w:type="lines" w:linePitch="312" w:charSpace="0"/>
        </w:sectPr>
      </w:pPr>
    </w:p>
    <w:p>
      <w:pPr>
        <w:spacing w:line="300" w:lineRule="exact"/>
        <w:jc w:val="left"/>
      </w:pPr>
    </w:p>
    <w:p>
      <w:pPr>
        <w:ind w:firstLineChars="200" w:firstLine="560"/>
        <w:jc w:val="left"/>
        <w:outlineLvl w:val="3"/>
        <w:rPr>
          <w:rFonts w:ascii="Times New Roman" w:hAnsi="Times New Roman"/>
          <w:b/>
          <w:sz w:val="28"/>
        </w:rPr>
      </w:pPr>
      <w:bookmarkStart w:id="7" w:name="_Toc65759945"/>
      <w:r>
        <w:rPr>
          <w:rFonts w:ascii="方正仿宋_GBK" w:eastAsia="方正仿宋_GBK" w:hint="eastAsia"/>
          <w:b/>
          <w:sz w:val="28"/>
        </w:rPr>
        <w:t>2.价格成本监审和价格监测经费绩效目标表</w:t>
      </w:r>
      <w:bookmarkEnd w:id="7"/>
      <w:r>
        <w:rPr>
          <w:rFonts w:ascii="方正仿宋_GBK" w:eastAsia="方正仿宋_GBK"/>
          <w:b/>
          <w:vanish/>
          <w:sz w:val="28"/>
        </w:rPr>
        <w:t xml:space="preserve">{ </w:t>
      </w:r>
      <w:r>
        <w:rPr>
          <w:rFonts w:ascii="方正仿宋_GBK" w:eastAsia="方正仿宋_GBK" w:hint="eastAsia"/>
          <w:b/>
          <w:vanish/>
          <w:sz w:val="28"/>
        </w:rPr>
        <w:t>TC 2、价格成本监审和价格监测经费绩效目标表 \f C \l 1</w:t>
      </w:r>
      <w:r>
        <w:rPr>
          <w:rFonts w:ascii="方正仿宋_GBK" w:eastAsia="方正仿宋_GBK"/>
          <w:b/>
          <w:vanish/>
          <w:sz w:val="28"/>
        </w:rPr>
        <w:t xml:space="preserve"> }</w:t>
      </w:r>
    </w:p>
    <w:tbl>
      <w:tblPr>
        <w:jc w:val="center"/>
        <w:tblW w:w="94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rPr>
          <w:trHeight w:val="397"/>
        </w:trPr>
        <w:tc>
          <w:tcPr>
            <w:tcW w:w="7711" w:type="dxa"/>
            <w:gridSpan w:val="6"/>
            <w:tcBorders>
              <w:top w:val="single" w:sz="6" w:space="0" w:color="FFFFFF"/>
              <w:left w:val="single" w:sz="6" w:space="0" w:color="FFFFFF"/>
              <w:bottom w:val="single" w:sz="6" w:space="0" w:color="000000"/>
              <w:right w:val="single" w:sz="6" w:space="0" w:color="FFFFFF"/>
            </w:tcBorders>
            <w:shd w:val="clear" w:color="auto" w:fill="auto"/>
            <w:vAlign w:val="center"/>
          </w:tcPr>
          <w:p>
            <w:pPr>
              <w:spacing w:line="300" w:lineRule="exact"/>
              <w:jc w:val="left"/>
              <w:rPr>
                <w:rFonts w:ascii="方正书宋_GBK" w:eastAsia="方正书宋_GBK"/>
                <w:b/>
              </w:rPr>
            </w:pPr>
            <w:r>
              <w:rPr>
                <w:rFonts w:ascii="方正书宋_GBK" w:eastAsia="方正书宋_GBK" w:hint="eastAsia"/>
                <w:b/>
              </w:rPr>
              <w:t>810001霸州市发展和改革局本级</w:t>
            </w:r>
          </w:p>
        </w:tc>
        <w:tc>
          <w:tcPr>
            <w:tcW w:w="1701" w:type="dxa"/>
            <w:tcBorders>
              <w:top w:val="single" w:sz="6" w:space="0" w:color="FFFFFF"/>
              <w:left w:val="single" w:sz="6" w:space="0" w:color="FFFFFF"/>
              <w:bottom w:val="single" w:sz="6" w:space="0" w:color="000000"/>
              <w:right w:val="single" w:sz="6" w:space="0" w:color="FFFFFF"/>
            </w:tcBorders>
            <w:shd w:val="clear" w:color="auto" w:fill="auto"/>
            <w:vAlign w:val="center"/>
          </w:tcPr>
          <w:p>
            <w:pPr>
              <w:spacing w:line="300" w:lineRule="exact"/>
              <w:jc w:val="right"/>
              <w:rPr>
                <w:rFonts w:ascii="方正书宋_GBK" w:eastAsia="方正书宋_GBK"/>
              </w:rPr>
            </w:pPr>
            <w:r>
              <w:rPr>
                <w:rFonts w:ascii="方正书宋_GBK" w:eastAsia="方正书宋_GBK" w:hint="eastAsia"/>
              </w:rPr>
              <w:t>单位：万元</w:t>
            </w:r>
          </w:p>
        </w:tc>
      </w:tr>
      <w:tr>
        <w:trPr>
          <w:trHeight w:val="369"/>
        </w:trPr>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rPr>
              <w:t>131081216FEDACH2KHDXL</w:t>
            </w:r>
          </w:p>
        </w:tc>
        <w:tc>
          <w:tcPr>
            <w:tcW w:w="1587"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价格成本监审和价格监测经费</w:t>
            </w:r>
          </w:p>
        </w:tc>
      </w:tr>
      <w:tr>
        <w:trPr>
          <w:trHeight w:val="369"/>
        </w:trPr>
        <w:tc>
          <w:tcPr>
            <w:tcW w:w="113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预算数</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rPr>
              <w:t>15.00</w:t>
            </w:r>
          </w:p>
        </w:tc>
        <w:tc>
          <w:tcPr>
            <w:tcW w:w="1587"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rPr>
              <w:t>15.00</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其他资金</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rPr>
              <w:t>0</w:t>
            </w:r>
          </w:p>
        </w:tc>
      </w:tr>
      <w:tr>
        <w:trPr>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8278"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聘请会计师事务所度相关企业进行成本监审，出具成本监审报告，为定价提供数据支持。聘请第三方公司对全市18个监测点44种应急物资价格进行监测，为政府宏观调控提供价格依据。</w:t>
            </w:r>
          </w:p>
        </w:tc>
      </w:tr>
      <w:tr>
        <w:trPr>
          <w:trHeight w:val="369"/>
        </w:trPr>
        <w:tc>
          <w:tcPr>
            <w:tcW w:w="113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资金支出计划（%）</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3月底</w:t>
            </w:r>
          </w:p>
        </w:tc>
        <w:tc>
          <w:tcPr>
            <w:tcW w:w="1587"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6月底</w:t>
            </w:r>
          </w:p>
        </w:tc>
        <w:tc>
          <w:tcPr>
            <w:tcW w:w="130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10月底</w:t>
            </w:r>
          </w:p>
        </w:tc>
        <w:tc>
          <w:tcPr>
            <w:tcW w:w="297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12月底</w:t>
            </w:r>
          </w:p>
        </w:tc>
      </w:tr>
      <w:tr>
        <w:trPr>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r>
              <w:rPr>
                <w:rFonts w:ascii="方正书宋_GBK" w:eastAsia="方正书宋_GBK"/>
              </w:rPr>
              <w:t>30.00%</w:t>
            </w:r>
          </w:p>
        </w:tc>
        <w:tc>
          <w:tcPr>
            <w:tcW w:w="1587"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r>
              <w:rPr>
                <w:rFonts w:ascii="方正书宋_GBK" w:eastAsia="方正书宋_GBK"/>
              </w:rPr>
              <w:t>60.00%</w:t>
            </w:r>
          </w:p>
        </w:tc>
        <w:tc>
          <w:tcPr>
            <w:tcW w:w="130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r>
              <w:rPr>
                <w:rFonts w:ascii="方正书宋_GBK" w:eastAsia="方正书宋_GBK"/>
              </w:rPr>
              <w:t>90.00%</w:t>
            </w:r>
          </w:p>
        </w:tc>
        <w:tc>
          <w:tcPr>
            <w:tcW w:w="297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rPr>
          <w:trHeight w:val="369"/>
        </w:trPr>
        <w:tc>
          <w:tcPr>
            <w:tcW w:w="1134" w:type="dxa"/>
            <w:tcBorders>
              <w:top w:val="single" w:sz="6" w:space="0" w:color="000000"/>
              <w:left w:val="single" w:sz="6" w:space="0" w:color="000000"/>
              <w:bottom w:val="nil"/>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top w:val="single" w:sz="6" w:space="0" w:color="000000"/>
              <w:left w:val="single" w:sz="6" w:space="0" w:color="000000"/>
              <w:bottom w:val="nil"/>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1.科学、有效地组织规范成本监审工作，保障成本监审数据的真实性、及时性、准确性</w:t>
            </w:r>
          </w:p>
          <w:p>
            <w:pPr>
              <w:spacing w:line="300" w:lineRule="exact"/>
              <w:jc w:val="left"/>
              <w:rPr>
                <w:rFonts w:ascii="方正书宋_GBK" w:eastAsia="方正书宋_GBK"/>
              </w:rPr>
            </w:pPr>
            <w:r>
              <w:rPr>
                <w:rFonts w:ascii="方正书宋_GBK" w:eastAsia="方正书宋_GBK" w:hint="eastAsia"/>
              </w:rPr>
              <w:t>2.及时、全面组织开展价格监测工作，保障数据的真实性、及时性、准确性</w:t>
            </w:r>
          </w:p>
        </w:tc>
      </w:tr>
    </w:tbl>
    <w:p>
      <w:pPr>
        <w:spacing w:line="14" w:lineRule="exact"/>
        <w:jc w:val="center"/>
        <w:rPr>
          <w:rFonts w:ascii="Times New Roman" w:hAnsi="Times New Roman"/>
        </w:rPr>
      </w:pPr>
      <w:r>
        <w:rPr>
          <w:rFonts w:ascii="方正书宋_GBK" w:eastAsia="方正书宋_GBK"/>
        </w:rPr>
        <w:t xml:space="preserve"> </w:t>
      </w:r>
    </w:p>
    <w:tbl>
      <w:tblPr>
        <w:jc w:val="center"/>
        <w:tblW w:w="94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134"/>
        <w:gridCol w:w="1134"/>
        <w:gridCol w:w="1276"/>
        <w:gridCol w:w="2891"/>
        <w:gridCol w:w="1276"/>
        <w:gridCol w:w="1701"/>
      </w:tblGrid>
      <w:tr>
        <w:trPr>
          <w:cantSplit/>
          <w:trHeight w:val="397"/>
          <w:tblHeader/>
        </w:trPr>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一级指标</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二级指标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三级指标</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指标值</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指标值确定依据</w:t>
            </w:r>
          </w:p>
        </w:tc>
      </w:tr>
      <w:tr>
        <w:trPr>
          <w:cantSplit/>
          <w:trHeight w:val="369"/>
        </w:trPr>
        <w:tc>
          <w:tcPr>
            <w:tcW w:w="113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r>
              <w:rPr>
                <w:rFonts w:ascii="方正书宋_GBK" w:eastAsia="方正书宋_GBK" w:hint="eastAsia"/>
              </w:rPr>
              <w:t>产出指标</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数量指标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价格监测应急物资数量</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价格监测应急物资数量</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44个</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计划指标</w:t>
            </w:r>
          </w:p>
        </w:tc>
      </w:tr>
      <w:tr>
        <w:trPr>
          <w:cantSplit/>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数量指标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价格监测报告出具数量</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对18个点44种应急物资价格变动情况出具报告</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≥18个</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计划指标</w:t>
            </w:r>
          </w:p>
        </w:tc>
      </w:tr>
      <w:tr>
        <w:trPr>
          <w:cantSplit/>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数量指标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价格监测点数量</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价格监测点数量</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18个</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计划指标</w:t>
            </w:r>
          </w:p>
        </w:tc>
      </w:tr>
      <w:tr>
        <w:trPr>
          <w:cantSplit/>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数量指标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成本监审报告出具数量</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对出租车成本监审、南水北调成本监审、天然气成本监审，出具成本监审的数据报告数量</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≥3个</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计划指标</w:t>
            </w:r>
          </w:p>
        </w:tc>
      </w:tr>
      <w:tr>
        <w:trPr>
          <w:cantSplit/>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质量指标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成本监审和价格监测报告采纳率</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被采纳的报告占全部成本监审报告的比率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≥80%</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计划指标</w:t>
            </w:r>
          </w:p>
        </w:tc>
      </w:tr>
      <w:tr>
        <w:trPr>
          <w:cantSplit/>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时效指标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工作周期</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工作完成时间3个月</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≥3个月</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计划指标</w:t>
            </w:r>
          </w:p>
        </w:tc>
      </w:tr>
      <w:tr>
        <w:trPr>
          <w:cantSplit/>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成本指标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项目预算控制数</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聘请专业会计事务所出具报告费用</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≤15万元</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计划指标</w:t>
            </w:r>
          </w:p>
        </w:tc>
      </w:tr>
      <w:tr>
        <w:trPr>
          <w:cantSplit/>
          <w:trHeight w:val="369"/>
        </w:trPr>
        <w:tc>
          <w:tcPr>
            <w:tcW w:w="113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hint="eastAsia"/>
              </w:rPr>
            </w:pPr>
            <w:r>
              <w:rPr>
                <w:rFonts w:ascii="方正书宋_GBK" w:eastAsia="方正书宋_GBK" w:hint="eastAsia"/>
              </w:rPr>
              <w:t>效益指标</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社会效益指标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政府定价政策的科学性和公平性</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政府定价政策的科学性和公平性</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有效提升</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计划指标</w:t>
            </w:r>
          </w:p>
        </w:tc>
      </w:tr>
      <w:tr>
        <w:trPr>
          <w:cantSplit/>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社会效益指标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对业务的支撑作用</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为相关企业定价提供相关支出作用</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效果显著</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计划指标</w:t>
            </w:r>
          </w:p>
        </w:tc>
      </w:tr>
      <w:tr>
        <w:trPr>
          <w:cantSplit/>
          <w:trHeight w:val="369"/>
        </w:trPr>
        <w:tc>
          <w:tcPr>
            <w:tcW w:w="113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hint="eastAsia"/>
              </w:rPr>
            </w:pPr>
            <w:r>
              <w:rPr>
                <w:rFonts w:ascii="方正书宋_GBK" w:eastAsia="方正书宋_GBK" w:hint="eastAsia"/>
              </w:rPr>
              <w:t>满意度指标</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服务对象满意度指标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成果应用部门满意度</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成果应用部门满意度</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≥95%</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计划指标</w:t>
            </w:r>
          </w:p>
        </w:tc>
      </w:tr>
      <w:tr>
        <w:trPr>
          <w:cantSplit/>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服务对象满意度指标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居民满意程度</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居民对出租车、水价和天然气价格的满意程度</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≥95%</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计划指标</w:t>
            </w:r>
          </w:p>
        </w:tc>
      </w:tr>
    </w:tbl>
    <w:p>
      <w:pPr>
        <w:spacing w:line="300" w:lineRule="exact"/>
        <w:jc w:val="left"/>
        <w:sectPr>
          <w:pgSz w:w="11907" w:h="16839"/>
          <w:pgMar w:top="1984" w:right="1304" w:bottom="1134" w:left="1304" w:header="851" w:footer="992" w:gutter="0"/>
          <w:docGrid w:type="lines" w:linePitch="312" w:charSpace="0"/>
        </w:sectPr>
      </w:pPr>
    </w:p>
    <w:p>
      <w:pPr>
        <w:spacing w:line="300" w:lineRule="exact"/>
        <w:jc w:val="left"/>
      </w:pPr>
    </w:p>
    <w:p>
      <w:pPr>
        <w:ind w:firstLineChars="200" w:firstLine="560"/>
        <w:jc w:val="left"/>
        <w:outlineLvl w:val="3"/>
        <w:rPr>
          <w:rFonts w:ascii="Times New Roman" w:hAnsi="Times New Roman"/>
          <w:b/>
          <w:sz w:val="28"/>
        </w:rPr>
      </w:pPr>
      <w:bookmarkStart w:id="8" w:name="_Toc65759946"/>
      <w:r>
        <w:rPr>
          <w:rFonts w:ascii="方正仿宋_GBK" w:eastAsia="方正仿宋_GBK" w:hint="eastAsia"/>
          <w:b/>
          <w:sz w:val="28"/>
        </w:rPr>
        <w:t>3.河北省企业技术中心奖励资金绩效目标表</w:t>
      </w:r>
      <w:bookmarkEnd w:id="8"/>
      <w:r>
        <w:rPr>
          <w:rFonts w:ascii="方正仿宋_GBK" w:eastAsia="方正仿宋_GBK"/>
          <w:b/>
          <w:vanish/>
          <w:sz w:val="28"/>
        </w:rPr>
        <w:t xml:space="preserve">{ </w:t>
      </w:r>
      <w:r>
        <w:rPr>
          <w:rFonts w:ascii="方正仿宋_GBK" w:eastAsia="方正仿宋_GBK" w:hint="eastAsia"/>
          <w:b/>
          <w:vanish/>
          <w:sz w:val="28"/>
        </w:rPr>
        <w:t>TC 3、河北省企业技术中心奖励资金绩效目标表 \f C \l 1</w:t>
      </w:r>
      <w:r>
        <w:rPr>
          <w:rFonts w:ascii="方正仿宋_GBK" w:eastAsia="方正仿宋_GBK"/>
          <w:b/>
          <w:vanish/>
          <w:sz w:val="28"/>
        </w:rPr>
        <w:t xml:space="preserve"> }</w:t>
      </w:r>
    </w:p>
    <w:tbl>
      <w:tblPr>
        <w:jc w:val="center"/>
        <w:tblW w:w="94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rPr>
          <w:trHeight w:val="397"/>
        </w:trPr>
        <w:tc>
          <w:tcPr>
            <w:tcW w:w="7711" w:type="dxa"/>
            <w:gridSpan w:val="6"/>
            <w:tcBorders>
              <w:top w:val="single" w:sz="6" w:space="0" w:color="FFFFFF"/>
              <w:left w:val="single" w:sz="6" w:space="0" w:color="FFFFFF"/>
              <w:bottom w:val="single" w:sz="6" w:space="0" w:color="000000"/>
              <w:right w:val="single" w:sz="6" w:space="0" w:color="FFFFFF"/>
            </w:tcBorders>
            <w:shd w:val="clear" w:color="auto" w:fill="auto"/>
            <w:vAlign w:val="center"/>
          </w:tcPr>
          <w:p>
            <w:pPr>
              <w:spacing w:line="300" w:lineRule="exact"/>
              <w:jc w:val="left"/>
              <w:rPr>
                <w:rFonts w:ascii="方正书宋_GBK" w:eastAsia="方正书宋_GBK"/>
                <w:b/>
              </w:rPr>
            </w:pPr>
            <w:r>
              <w:rPr>
                <w:rFonts w:ascii="方正书宋_GBK" w:eastAsia="方正书宋_GBK" w:hint="eastAsia"/>
                <w:b/>
              </w:rPr>
              <w:t>810001霸州市发展和改革局本级</w:t>
            </w:r>
          </w:p>
        </w:tc>
        <w:tc>
          <w:tcPr>
            <w:tcW w:w="1701" w:type="dxa"/>
            <w:tcBorders>
              <w:top w:val="single" w:sz="6" w:space="0" w:color="FFFFFF"/>
              <w:left w:val="single" w:sz="6" w:space="0" w:color="FFFFFF"/>
              <w:bottom w:val="single" w:sz="6" w:space="0" w:color="000000"/>
              <w:right w:val="single" w:sz="6" w:space="0" w:color="FFFFFF"/>
            </w:tcBorders>
            <w:shd w:val="clear" w:color="auto" w:fill="auto"/>
            <w:vAlign w:val="center"/>
          </w:tcPr>
          <w:p>
            <w:pPr>
              <w:spacing w:line="300" w:lineRule="exact"/>
              <w:jc w:val="right"/>
              <w:rPr>
                <w:rFonts w:ascii="方正书宋_GBK" w:eastAsia="方正书宋_GBK"/>
              </w:rPr>
            </w:pPr>
            <w:r>
              <w:rPr>
                <w:rFonts w:ascii="方正书宋_GBK" w:eastAsia="方正书宋_GBK" w:hint="eastAsia"/>
              </w:rPr>
              <w:t>单位：万元</w:t>
            </w:r>
          </w:p>
        </w:tc>
      </w:tr>
      <w:tr>
        <w:trPr>
          <w:trHeight w:val="369"/>
        </w:trPr>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rPr>
              <w:t>131081216FY203T8KYL3L</w:t>
            </w:r>
          </w:p>
        </w:tc>
        <w:tc>
          <w:tcPr>
            <w:tcW w:w="1587"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河北省企业技术中心奖励资金</w:t>
            </w:r>
          </w:p>
        </w:tc>
      </w:tr>
      <w:tr>
        <w:trPr>
          <w:trHeight w:val="369"/>
        </w:trPr>
        <w:tc>
          <w:tcPr>
            <w:tcW w:w="113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预算数</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rPr>
              <w:t>25.00</w:t>
            </w:r>
          </w:p>
        </w:tc>
        <w:tc>
          <w:tcPr>
            <w:tcW w:w="1587"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rPr>
              <w:t>25.00</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其他资金</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rPr>
              <w:t>0</w:t>
            </w:r>
          </w:p>
        </w:tc>
      </w:tr>
      <w:tr>
        <w:trPr>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8278"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2019年12月29日，市委、市政府联合下达《关于进一步促进民营经济发展的若干意见》（霸发﹝2019﹞15号），明确了对创新平台建设的支持政策，对于新认定的省级企业技术中心给予一次性12.50万元奖励。2020年9月，经过我市筛选、实地考察、向上级申报及省组织的专家评审，我市两家企业技术中心获得认定，进入2020年河北省企业技术中心名单。</w:t>
            </w:r>
          </w:p>
        </w:tc>
      </w:tr>
      <w:tr>
        <w:trPr>
          <w:trHeight w:val="369"/>
        </w:trPr>
        <w:tc>
          <w:tcPr>
            <w:tcW w:w="113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资金支出计划（%）</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3月底</w:t>
            </w:r>
          </w:p>
        </w:tc>
        <w:tc>
          <w:tcPr>
            <w:tcW w:w="1587"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6月底</w:t>
            </w:r>
          </w:p>
        </w:tc>
        <w:tc>
          <w:tcPr>
            <w:tcW w:w="130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10月底</w:t>
            </w:r>
          </w:p>
        </w:tc>
        <w:tc>
          <w:tcPr>
            <w:tcW w:w="297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12月底</w:t>
            </w:r>
          </w:p>
        </w:tc>
      </w:tr>
      <w:tr>
        <w:trPr>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c>
          <w:tcPr>
            <w:tcW w:w="1587"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c>
          <w:tcPr>
            <w:tcW w:w="130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rPr>
          <w:trHeight w:val="369"/>
        </w:trPr>
        <w:tc>
          <w:tcPr>
            <w:tcW w:w="1134" w:type="dxa"/>
            <w:tcBorders>
              <w:top w:val="single" w:sz="6" w:space="0" w:color="000000"/>
              <w:left w:val="single" w:sz="6" w:space="0" w:color="000000"/>
              <w:bottom w:val="nil"/>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top w:val="single" w:sz="6" w:space="0" w:color="000000"/>
              <w:left w:val="single" w:sz="6" w:space="0" w:color="000000"/>
              <w:bottom w:val="nil"/>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1.“对于新认定的省级企业技术中心给予一次性12.50万元奖励”的要求，对于我市进入2020年河北省企业技术中心名单的2家企业技术中心给予奖励，资金用于支持企业技术中心的建设工作，提高企业创新能力，引进创新人才、扩大创新成效，不断提升企业竞争力。</w:t>
            </w:r>
          </w:p>
        </w:tc>
      </w:tr>
    </w:tbl>
    <w:p>
      <w:pPr>
        <w:spacing w:line="14" w:lineRule="exact"/>
        <w:jc w:val="center"/>
        <w:rPr>
          <w:rFonts w:ascii="Times New Roman" w:hAnsi="Times New Roman"/>
        </w:rPr>
      </w:pPr>
      <w:r>
        <w:rPr>
          <w:rFonts w:ascii="方正书宋_GBK" w:eastAsia="方正书宋_GBK"/>
        </w:rPr>
        <w:t xml:space="preserve"> </w:t>
      </w:r>
    </w:p>
    <w:tbl>
      <w:tblPr>
        <w:jc w:val="center"/>
        <w:tblW w:w="94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134"/>
        <w:gridCol w:w="1134"/>
        <w:gridCol w:w="1276"/>
        <w:gridCol w:w="2891"/>
        <w:gridCol w:w="1276"/>
        <w:gridCol w:w="1701"/>
      </w:tblGrid>
      <w:tr>
        <w:trPr>
          <w:cantSplit/>
          <w:trHeight w:val="397"/>
          <w:tblHeader/>
        </w:trPr>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一级指标</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二级指标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三级指标</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指标值</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指标值确定依据</w:t>
            </w:r>
          </w:p>
        </w:tc>
      </w:tr>
      <w:tr>
        <w:trPr>
          <w:cantSplit/>
          <w:trHeight w:val="369"/>
        </w:trPr>
        <w:tc>
          <w:tcPr>
            <w:tcW w:w="113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r>
              <w:rPr>
                <w:rFonts w:ascii="方正书宋_GBK" w:eastAsia="方正书宋_GBK" w:hint="eastAsia"/>
              </w:rPr>
              <w:t>产出指标</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数量指标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受奖励企业数量</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受奖励企业数量</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2个</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 xml:space="preserve">计划指标 </w:t>
            </w:r>
          </w:p>
        </w:tc>
      </w:tr>
      <w:tr>
        <w:trPr>
          <w:cantSplit/>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质量指标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奖金发放率</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实际奖金发放率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rPr>
              <w:t>100%</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 xml:space="preserve">计划指标 </w:t>
            </w:r>
          </w:p>
        </w:tc>
      </w:tr>
      <w:tr>
        <w:trPr>
          <w:cantSplit/>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时效指标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奖金发放时间</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奖金30天内发放完</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≤30天</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 xml:space="preserve">计划指标 </w:t>
            </w:r>
          </w:p>
        </w:tc>
      </w:tr>
      <w:tr>
        <w:trPr>
          <w:cantSplit/>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成本指标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奖励标准</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奖励标准</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12.5万元</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 xml:space="preserve">计划指标 </w:t>
            </w:r>
          </w:p>
        </w:tc>
      </w:tr>
      <w:tr>
        <w:trPr>
          <w:cantSplit/>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成本指标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项目预算控制数</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奖金补发金额</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25万元</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 xml:space="preserve">计划指标 </w:t>
            </w:r>
          </w:p>
        </w:tc>
      </w:tr>
      <w:tr>
        <w:trPr>
          <w:cantSplit/>
          <w:trHeight w:val="369"/>
        </w:trPr>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hint="eastAsia"/>
              </w:rPr>
            </w:pPr>
            <w:r>
              <w:rPr>
                <w:rFonts w:ascii="方正书宋_GBK" w:eastAsia="方正书宋_GBK" w:hint="eastAsia"/>
              </w:rPr>
              <w:t>效益指标</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可持续影响指标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奖补持续发挥作用的期限</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通过奖补企业发挥作用的期限不低于2年</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≥2年</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 xml:space="preserve">计划指标 </w:t>
            </w:r>
          </w:p>
        </w:tc>
      </w:tr>
      <w:tr>
        <w:trPr>
          <w:cantSplit/>
          <w:trHeight w:val="369"/>
        </w:trPr>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hint="eastAsia"/>
              </w:rPr>
            </w:pPr>
            <w:r>
              <w:rPr>
                <w:rFonts w:ascii="方正书宋_GBK" w:eastAsia="方正书宋_GBK" w:hint="eastAsia"/>
              </w:rPr>
              <w:t>满意度指标</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服务对象满意度指标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企业技术中心满意度</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企业技术中心对支持政策的满意程度</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≥90%</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 xml:space="preserve">计划指标 </w:t>
            </w:r>
          </w:p>
        </w:tc>
      </w:tr>
    </w:tbl>
    <w:p>
      <w:pPr>
        <w:spacing w:line="300" w:lineRule="exact"/>
        <w:jc w:val="left"/>
        <w:sectPr>
          <w:pgSz w:w="11907" w:h="16839"/>
          <w:pgMar w:top="1984" w:right="1304" w:bottom="1134" w:left="1304" w:header="851" w:footer="992" w:gutter="0"/>
          <w:docGrid w:type="lines" w:linePitch="312" w:charSpace="0"/>
        </w:sectPr>
      </w:pPr>
    </w:p>
    <w:p>
      <w:pPr>
        <w:spacing w:line="300" w:lineRule="exact"/>
        <w:jc w:val="left"/>
      </w:pPr>
    </w:p>
    <w:p>
      <w:pPr>
        <w:ind w:firstLineChars="200" w:firstLine="560"/>
        <w:jc w:val="left"/>
        <w:outlineLvl w:val="3"/>
        <w:rPr>
          <w:rFonts w:ascii="Times New Roman" w:hAnsi="Times New Roman"/>
          <w:b/>
          <w:sz w:val="28"/>
        </w:rPr>
      </w:pPr>
      <w:bookmarkStart w:id="9" w:name="_Toc65759947"/>
      <w:r>
        <w:rPr>
          <w:rFonts w:ascii="方正仿宋_GBK" w:eastAsia="方正仿宋_GBK" w:hint="eastAsia"/>
          <w:b/>
          <w:sz w:val="28"/>
        </w:rPr>
        <w:t>4.新增规模以上服务业企业奖励及在统规模以上服务业数据直报员奖励资金绩效目标表</w:t>
      </w:r>
      <w:bookmarkEnd w:id="9"/>
      <w:r>
        <w:rPr>
          <w:rFonts w:ascii="方正仿宋_GBK" w:eastAsia="方正仿宋_GBK"/>
          <w:b/>
          <w:vanish/>
          <w:sz w:val="28"/>
        </w:rPr>
        <w:t xml:space="preserve">{ </w:t>
      </w:r>
      <w:r>
        <w:rPr>
          <w:rFonts w:ascii="方正仿宋_GBK" w:eastAsia="方正仿宋_GBK" w:hint="eastAsia"/>
          <w:b/>
          <w:vanish/>
          <w:sz w:val="28"/>
        </w:rPr>
        <w:t>TC 4、新增规模以上服务业企业奖励及在统规模以上服务业数据直报员奖励资金绩效目标表 \f C \l 1</w:t>
      </w:r>
      <w:r>
        <w:rPr>
          <w:rFonts w:ascii="方正仿宋_GBK" w:eastAsia="方正仿宋_GBK"/>
          <w:b/>
          <w:vanish/>
          <w:sz w:val="28"/>
        </w:rPr>
        <w:t xml:space="preserve"> }</w:t>
      </w:r>
    </w:p>
    <w:tbl>
      <w:tblPr>
        <w:jc w:val="center"/>
        <w:tblW w:w="94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rPr>
          <w:trHeight w:val="397"/>
        </w:trPr>
        <w:tc>
          <w:tcPr>
            <w:tcW w:w="7711" w:type="dxa"/>
            <w:gridSpan w:val="6"/>
            <w:tcBorders>
              <w:top w:val="single" w:sz="6" w:space="0" w:color="FFFFFF"/>
              <w:left w:val="single" w:sz="6" w:space="0" w:color="FFFFFF"/>
              <w:bottom w:val="single" w:sz="6" w:space="0" w:color="000000"/>
              <w:right w:val="single" w:sz="6" w:space="0" w:color="FFFFFF"/>
            </w:tcBorders>
            <w:shd w:val="clear" w:color="auto" w:fill="auto"/>
            <w:vAlign w:val="center"/>
          </w:tcPr>
          <w:p>
            <w:pPr>
              <w:spacing w:line="300" w:lineRule="exact"/>
              <w:jc w:val="left"/>
              <w:rPr>
                <w:rFonts w:ascii="方正书宋_GBK" w:eastAsia="方正书宋_GBK"/>
                <w:b/>
              </w:rPr>
            </w:pPr>
            <w:r>
              <w:rPr>
                <w:rFonts w:ascii="方正书宋_GBK" w:eastAsia="方正书宋_GBK" w:hint="eastAsia"/>
                <w:b/>
              </w:rPr>
              <w:t>810001霸州市发展和改革局本级</w:t>
            </w:r>
          </w:p>
        </w:tc>
        <w:tc>
          <w:tcPr>
            <w:tcW w:w="1701" w:type="dxa"/>
            <w:tcBorders>
              <w:top w:val="single" w:sz="6" w:space="0" w:color="FFFFFF"/>
              <w:left w:val="single" w:sz="6" w:space="0" w:color="FFFFFF"/>
              <w:bottom w:val="single" w:sz="6" w:space="0" w:color="000000"/>
              <w:right w:val="single" w:sz="6" w:space="0" w:color="FFFFFF"/>
            </w:tcBorders>
            <w:shd w:val="clear" w:color="auto" w:fill="auto"/>
            <w:vAlign w:val="center"/>
          </w:tcPr>
          <w:p>
            <w:pPr>
              <w:spacing w:line="300" w:lineRule="exact"/>
              <w:jc w:val="right"/>
              <w:rPr>
                <w:rFonts w:ascii="方正书宋_GBK" w:eastAsia="方正书宋_GBK"/>
              </w:rPr>
            </w:pPr>
            <w:r>
              <w:rPr>
                <w:rFonts w:ascii="方正书宋_GBK" w:eastAsia="方正书宋_GBK" w:hint="eastAsia"/>
              </w:rPr>
              <w:t>单位：万元</w:t>
            </w:r>
          </w:p>
        </w:tc>
      </w:tr>
      <w:tr>
        <w:trPr>
          <w:trHeight w:val="369"/>
        </w:trPr>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rPr>
              <w:t>131081217GCSMGGVCV04R</w:t>
            </w:r>
          </w:p>
        </w:tc>
        <w:tc>
          <w:tcPr>
            <w:tcW w:w="1587"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新增规模以上服务业企业奖励及在统规模以上服务业数据直报员奖励资金</w:t>
            </w:r>
          </w:p>
        </w:tc>
      </w:tr>
      <w:tr>
        <w:trPr>
          <w:trHeight w:val="369"/>
        </w:trPr>
        <w:tc>
          <w:tcPr>
            <w:tcW w:w="113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预算数</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rPr>
              <w:t>41.60</w:t>
            </w:r>
          </w:p>
        </w:tc>
        <w:tc>
          <w:tcPr>
            <w:tcW w:w="1587"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rPr>
              <w:t>41.60</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其他资金</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rPr>
              <w:t>0</w:t>
            </w:r>
          </w:p>
        </w:tc>
      </w:tr>
      <w:tr>
        <w:trPr>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8278"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吸引和鼓励全市现代服务业企业积极申报和填报规上服务业系统，进一步支持引导企业做大做强，我局申请对规上服务业企业和直报员的奖励资金41.6万元，一次性拨付。</w:t>
            </w:r>
          </w:p>
        </w:tc>
      </w:tr>
      <w:tr>
        <w:trPr>
          <w:trHeight w:val="369"/>
        </w:trPr>
        <w:tc>
          <w:tcPr>
            <w:tcW w:w="113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资金支出计划（%）</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3月底</w:t>
            </w:r>
          </w:p>
        </w:tc>
        <w:tc>
          <w:tcPr>
            <w:tcW w:w="1587"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6月底</w:t>
            </w:r>
          </w:p>
        </w:tc>
        <w:tc>
          <w:tcPr>
            <w:tcW w:w="130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10月底</w:t>
            </w:r>
          </w:p>
        </w:tc>
        <w:tc>
          <w:tcPr>
            <w:tcW w:w="297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12月底</w:t>
            </w:r>
          </w:p>
        </w:tc>
      </w:tr>
      <w:tr>
        <w:trPr>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p>
        </w:tc>
        <w:tc>
          <w:tcPr>
            <w:tcW w:w="1587"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p>
        </w:tc>
        <w:tc>
          <w:tcPr>
            <w:tcW w:w="130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rPr>
          <w:trHeight w:val="369"/>
        </w:trPr>
        <w:tc>
          <w:tcPr>
            <w:tcW w:w="1134" w:type="dxa"/>
            <w:tcBorders>
              <w:top w:val="single" w:sz="6" w:space="0" w:color="000000"/>
              <w:left w:val="single" w:sz="6" w:space="0" w:color="000000"/>
              <w:bottom w:val="nil"/>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top w:val="single" w:sz="6" w:space="0" w:color="000000"/>
              <w:left w:val="single" w:sz="6" w:space="0" w:color="000000"/>
              <w:bottom w:val="nil"/>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1.计划2020年10月31日之前奖励2家2018年新增的规上服务业企业，每家3万共计6万；5家2019年新增的规上服务业企业，每家4万共计20万元；3家2020年新增的规上服务业企业，每家4万共计12万；奖励企业数据直报员12人，每人3000元共计3.6万，总计41.6万，起到鼓励全市现代服务业企业积极申报和填报规上服务业系统的作用。</w:t>
            </w:r>
          </w:p>
        </w:tc>
      </w:tr>
    </w:tbl>
    <w:p>
      <w:pPr>
        <w:spacing w:line="14" w:lineRule="exact"/>
        <w:jc w:val="center"/>
        <w:rPr>
          <w:rFonts w:ascii="Times New Roman" w:hAnsi="Times New Roman"/>
        </w:rPr>
      </w:pPr>
      <w:r>
        <w:rPr>
          <w:rFonts w:ascii="方正书宋_GBK" w:eastAsia="方正书宋_GBK"/>
        </w:rPr>
        <w:t xml:space="preserve"> </w:t>
      </w:r>
    </w:p>
    <w:tbl>
      <w:tblPr>
        <w:jc w:val="center"/>
        <w:tblW w:w="94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134"/>
        <w:gridCol w:w="1134"/>
        <w:gridCol w:w="1276"/>
        <w:gridCol w:w="2891"/>
        <w:gridCol w:w="1276"/>
        <w:gridCol w:w="1701"/>
      </w:tblGrid>
      <w:tr>
        <w:trPr>
          <w:cantSplit/>
          <w:trHeight w:val="397"/>
          <w:tblHeader/>
        </w:trPr>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一级指标</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二级指标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三级指标</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指标值</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指标值确定依据</w:t>
            </w:r>
          </w:p>
        </w:tc>
      </w:tr>
      <w:tr>
        <w:trPr>
          <w:cantSplit/>
          <w:trHeight w:val="369"/>
        </w:trPr>
        <w:tc>
          <w:tcPr>
            <w:tcW w:w="113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r>
              <w:rPr>
                <w:rFonts w:ascii="方正书宋_GBK" w:eastAsia="方正书宋_GBK" w:hint="eastAsia"/>
              </w:rPr>
              <w:t>产出指标</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数量指标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补贴的企业单位个数（家）</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符合奖励政策，给予奖励的企业单位数量</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≥10家</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计划指标</w:t>
            </w:r>
          </w:p>
        </w:tc>
      </w:tr>
      <w:tr>
        <w:trPr>
          <w:cantSplit/>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数量指标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奖励的在统企业数据直报员数量</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符合奖励政策，给予奖励的在统企业数据直报员数量</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≥12名</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计划指标</w:t>
            </w:r>
          </w:p>
        </w:tc>
      </w:tr>
      <w:tr>
        <w:trPr>
          <w:cantSplit/>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质量指标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拨付比例</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拨付的企业和直报员数量占总数的比率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≥100%</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计划指标</w:t>
            </w:r>
          </w:p>
        </w:tc>
      </w:tr>
      <w:tr>
        <w:trPr>
          <w:cantSplit/>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时效指标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资金支付时间</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年度内拨付各项奖励资金</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≤10月</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计划指标</w:t>
            </w:r>
          </w:p>
        </w:tc>
      </w:tr>
      <w:tr>
        <w:trPr>
          <w:cantSplit/>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成本指标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奖励资金预算控制数</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奖励企业和直报员的资金</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≤41.6万元</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计划指标</w:t>
            </w:r>
          </w:p>
        </w:tc>
      </w:tr>
      <w:tr>
        <w:trPr>
          <w:cantSplit/>
          <w:trHeight w:val="369"/>
        </w:trPr>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hint="eastAsia"/>
              </w:rPr>
            </w:pPr>
            <w:r>
              <w:rPr>
                <w:rFonts w:ascii="方正书宋_GBK" w:eastAsia="方正书宋_GBK" w:hint="eastAsia"/>
              </w:rPr>
              <w:t>效益指标</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社会效益指标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规模以上服务业企业入统</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吸引和鼓励规模以上服务业企业入统，做好企业培育工作</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积极推动</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历史数据</w:t>
            </w:r>
          </w:p>
        </w:tc>
      </w:tr>
      <w:tr>
        <w:trPr>
          <w:cantSplit/>
          <w:trHeight w:val="369"/>
        </w:trPr>
        <w:tc>
          <w:tcPr>
            <w:tcW w:w="113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hint="eastAsia"/>
              </w:rPr>
            </w:pPr>
            <w:r>
              <w:rPr>
                <w:rFonts w:ascii="方正书宋_GBK" w:eastAsia="方正书宋_GBK" w:hint="eastAsia"/>
              </w:rPr>
              <w:t>满意度指标</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服务对象满意度指标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补贴企业满意度</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受奖励的企业对资金的满意度</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≥90%</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调查问卷</w:t>
            </w:r>
          </w:p>
        </w:tc>
      </w:tr>
      <w:tr>
        <w:trPr>
          <w:cantSplit/>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服务对象满意度指标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补贴直报员满意度</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受奖励的直报员对资金的满意度</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≥90%</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调查问卷</w:t>
            </w:r>
          </w:p>
        </w:tc>
      </w:tr>
    </w:tbl>
    <w:p>
      <w:pPr>
        <w:spacing w:line="300" w:lineRule="exact"/>
        <w:jc w:val="left"/>
        <w:sectPr>
          <w:pgSz w:w="11907" w:h="16839"/>
          <w:pgMar w:top="1984" w:right="1304" w:bottom="1134" w:left="1304" w:header="851" w:footer="992" w:gutter="0"/>
          <w:docGrid w:type="lines" w:linePitch="312" w:charSpace="0"/>
        </w:sectPr>
      </w:pPr>
    </w:p>
    <w:p>
      <w:pPr>
        <w:spacing w:line="300" w:lineRule="exact"/>
        <w:jc w:val="left"/>
      </w:pPr>
    </w:p>
    <w:p>
      <w:pPr>
        <w:ind w:firstLineChars="200" w:firstLine="560"/>
        <w:jc w:val="left"/>
        <w:outlineLvl w:val="3"/>
        <w:rPr>
          <w:rFonts w:ascii="Times New Roman" w:hAnsi="Times New Roman"/>
          <w:b/>
          <w:sz w:val="28"/>
        </w:rPr>
      </w:pPr>
      <w:bookmarkStart w:id="10" w:name="_Toc65759948"/>
      <w:r>
        <w:rPr>
          <w:rFonts w:ascii="方正仿宋_GBK" w:eastAsia="方正仿宋_GBK" w:hint="eastAsia"/>
          <w:b/>
          <w:sz w:val="28"/>
        </w:rPr>
        <w:t>5.霸州市粮食产后服务中心建设项目本级财政配套资金★绩效目标表</w:t>
      </w:r>
      <w:bookmarkEnd w:id="10"/>
      <w:r>
        <w:rPr>
          <w:rFonts w:ascii="方正仿宋_GBK" w:eastAsia="方正仿宋_GBK"/>
          <w:b/>
          <w:vanish/>
          <w:sz w:val="28"/>
        </w:rPr>
        <w:t xml:space="preserve">{ </w:t>
      </w:r>
      <w:r>
        <w:rPr>
          <w:rFonts w:ascii="方正仿宋_GBK" w:eastAsia="方正仿宋_GBK" w:hint="eastAsia"/>
          <w:b/>
          <w:vanish/>
          <w:sz w:val="28"/>
        </w:rPr>
        <w:t>TC 5、霸州市粮食产后服务中心建设项目本级财政配套资金★绩效目标表 \f C \l 1</w:t>
      </w:r>
      <w:r>
        <w:rPr>
          <w:rFonts w:ascii="方正仿宋_GBK" w:eastAsia="方正仿宋_GBK"/>
          <w:b/>
          <w:vanish/>
          <w:sz w:val="28"/>
        </w:rPr>
        <w:t xml:space="preserve"> }</w:t>
      </w:r>
    </w:p>
    <w:tbl>
      <w:tblPr>
        <w:jc w:val="center"/>
        <w:tblW w:w="94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rPr>
          <w:trHeight w:val="397"/>
        </w:trPr>
        <w:tc>
          <w:tcPr>
            <w:tcW w:w="7711" w:type="dxa"/>
            <w:gridSpan w:val="6"/>
            <w:tcBorders>
              <w:top w:val="single" w:sz="6" w:space="0" w:color="FFFFFF"/>
              <w:left w:val="single" w:sz="6" w:space="0" w:color="FFFFFF"/>
              <w:bottom w:val="single" w:sz="6" w:space="0" w:color="000000"/>
              <w:right w:val="single" w:sz="6" w:space="0" w:color="FFFFFF"/>
            </w:tcBorders>
            <w:shd w:val="clear" w:color="auto" w:fill="auto"/>
            <w:vAlign w:val="center"/>
          </w:tcPr>
          <w:p>
            <w:pPr>
              <w:spacing w:line="300" w:lineRule="exact"/>
              <w:jc w:val="left"/>
              <w:rPr>
                <w:rFonts w:ascii="方正书宋_GBK" w:eastAsia="方正书宋_GBK"/>
                <w:b/>
              </w:rPr>
            </w:pPr>
            <w:r>
              <w:rPr>
                <w:rFonts w:ascii="方正书宋_GBK" w:eastAsia="方正书宋_GBK" w:hint="eastAsia"/>
                <w:b/>
              </w:rPr>
              <w:t>810001霸州市发展和改革局本级</w:t>
            </w:r>
          </w:p>
        </w:tc>
        <w:tc>
          <w:tcPr>
            <w:tcW w:w="1701" w:type="dxa"/>
            <w:tcBorders>
              <w:top w:val="single" w:sz="6" w:space="0" w:color="FFFFFF"/>
              <w:left w:val="single" w:sz="6" w:space="0" w:color="FFFFFF"/>
              <w:bottom w:val="single" w:sz="6" w:space="0" w:color="000000"/>
              <w:right w:val="single" w:sz="6" w:space="0" w:color="FFFFFF"/>
            </w:tcBorders>
            <w:shd w:val="clear" w:color="auto" w:fill="auto"/>
            <w:vAlign w:val="center"/>
          </w:tcPr>
          <w:p>
            <w:pPr>
              <w:spacing w:line="300" w:lineRule="exact"/>
              <w:jc w:val="right"/>
              <w:rPr>
                <w:rFonts w:ascii="方正书宋_GBK" w:eastAsia="方正书宋_GBK"/>
              </w:rPr>
            </w:pPr>
            <w:r>
              <w:rPr>
                <w:rFonts w:ascii="方正书宋_GBK" w:eastAsia="方正书宋_GBK" w:hint="eastAsia"/>
              </w:rPr>
              <w:t>单位：万元</w:t>
            </w:r>
          </w:p>
        </w:tc>
      </w:tr>
      <w:tr>
        <w:trPr>
          <w:trHeight w:val="369"/>
        </w:trPr>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rPr>
              <w:t>131081217YTYRRGSPUOHM</w:t>
            </w:r>
          </w:p>
        </w:tc>
        <w:tc>
          <w:tcPr>
            <w:tcW w:w="1587"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霸州市粮食产后服务中心建设项目本级财政配套资金★</w:t>
            </w:r>
          </w:p>
        </w:tc>
      </w:tr>
      <w:tr>
        <w:trPr>
          <w:trHeight w:val="369"/>
        </w:trPr>
        <w:tc>
          <w:tcPr>
            <w:tcW w:w="113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预算数</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rPr>
              <w:t>159.30</w:t>
            </w:r>
          </w:p>
        </w:tc>
        <w:tc>
          <w:tcPr>
            <w:tcW w:w="1587"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rPr>
              <w:t>159.30</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其他资金</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rPr>
              <w:t>0</w:t>
            </w:r>
          </w:p>
        </w:tc>
      </w:tr>
      <w:tr>
        <w:trPr>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8278"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按照上级“优质粮食工程”相关文件要求，我局充分发挥部门职能、狠抓工作落实，积极谋划建设项目，通过筛选、申报等程序，“益津粮油购销第一有限公司产后服务中心”和“益津粮油购销第二有限公司产后服务中心”纳入我省投资计划，主要对企业现有场地、仓库进行维修，新建罩棚、地坪，购置清理、烘干、输送、除尘、通风、粮食质量快检和常规检测设备等，项目总投资610万元，上级补助305万元，本级配套资金159.3万元，其他资金由企业自筹。</w:t>
            </w:r>
          </w:p>
        </w:tc>
      </w:tr>
      <w:tr>
        <w:trPr>
          <w:trHeight w:val="369"/>
        </w:trPr>
        <w:tc>
          <w:tcPr>
            <w:tcW w:w="113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资金支出计划（%）</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3月底</w:t>
            </w:r>
          </w:p>
        </w:tc>
        <w:tc>
          <w:tcPr>
            <w:tcW w:w="1587"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6月底</w:t>
            </w:r>
          </w:p>
        </w:tc>
        <w:tc>
          <w:tcPr>
            <w:tcW w:w="130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10月底</w:t>
            </w:r>
          </w:p>
        </w:tc>
        <w:tc>
          <w:tcPr>
            <w:tcW w:w="297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12月底</w:t>
            </w:r>
          </w:p>
        </w:tc>
      </w:tr>
      <w:tr>
        <w:trPr>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587"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c>
          <w:tcPr>
            <w:tcW w:w="130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rPr>
          <w:trHeight w:val="369"/>
        </w:trPr>
        <w:tc>
          <w:tcPr>
            <w:tcW w:w="1134" w:type="dxa"/>
            <w:tcBorders>
              <w:top w:val="single" w:sz="6" w:space="0" w:color="000000"/>
              <w:left w:val="single" w:sz="6" w:space="0" w:color="000000"/>
              <w:bottom w:val="nil"/>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top w:val="single" w:sz="6" w:space="0" w:color="000000"/>
              <w:left w:val="single" w:sz="6" w:space="0" w:color="000000"/>
              <w:bottom w:val="nil"/>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1.本项目计划对“益津粮油购销第一有限公司产后服务中心”和“益津粮油购销第二有限公司产后服务中心”2家企业现有场地、仓库进行维修，新建罩棚、地坪，购置清理、烘干、输送、除尘、通风、粮食质量快检和常规检测设备等。通过实施本项目，提高储粮能力达到10000吨，每日烘干粮食最高可达到5000吨。粮食收储能力显著增强，市场议价能力明显增强，粮食优质优价得以有效保障，粮食损失大幅降低，专业化服务水平显著提高。</w:t>
            </w:r>
          </w:p>
        </w:tc>
      </w:tr>
    </w:tbl>
    <w:p>
      <w:pPr>
        <w:spacing w:line="14" w:lineRule="exact"/>
        <w:jc w:val="center"/>
        <w:rPr>
          <w:rFonts w:ascii="Times New Roman" w:hAnsi="Times New Roman"/>
        </w:rPr>
      </w:pPr>
      <w:r>
        <w:rPr>
          <w:rFonts w:ascii="方正书宋_GBK" w:eastAsia="方正书宋_GBK"/>
        </w:rPr>
        <w:t xml:space="preserve"> </w:t>
      </w:r>
    </w:p>
    <w:tbl>
      <w:tblPr>
        <w:jc w:val="center"/>
        <w:tblW w:w="94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134"/>
        <w:gridCol w:w="1134"/>
        <w:gridCol w:w="1276"/>
        <w:gridCol w:w="2891"/>
        <w:gridCol w:w="1276"/>
        <w:gridCol w:w="1701"/>
      </w:tblGrid>
      <w:tr>
        <w:trPr>
          <w:cantSplit/>
          <w:trHeight w:val="397"/>
          <w:tblHeader/>
        </w:trPr>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一级指标</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二级指标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三级指标</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指标值</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指标值确定依据</w:t>
            </w:r>
          </w:p>
        </w:tc>
      </w:tr>
      <w:tr>
        <w:trPr>
          <w:cantSplit/>
          <w:trHeight w:val="369"/>
        </w:trPr>
        <w:tc>
          <w:tcPr>
            <w:tcW w:w="113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r>
              <w:rPr>
                <w:rFonts w:ascii="方正书宋_GBK" w:eastAsia="方正书宋_GBK" w:hint="eastAsia"/>
              </w:rPr>
              <w:t>产出指标</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数量指标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消防设施</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对第一公司消防管道及配套设施进行完善</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1套</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计划指标</w:t>
            </w:r>
          </w:p>
        </w:tc>
      </w:tr>
      <w:tr>
        <w:trPr>
          <w:cantSplit/>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数量指标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仓房维修</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对第一公司仓房墙体粉刷面积</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9200平方米</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计划指标</w:t>
            </w:r>
          </w:p>
        </w:tc>
      </w:tr>
      <w:tr>
        <w:trPr>
          <w:cantSplit/>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数量指标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地坪维修</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对第一公司地坪维修面积</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1735平方米</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计划指标</w:t>
            </w:r>
          </w:p>
        </w:tc>
      </w:tr>
      <w:tr>
        <w:trPr>
          <w:cantSplit/>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数量指标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仓内保温吊顶</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对第二公司仓内保温吊顶的施工面积</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4675平方米</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计划指标</w:t>
            </w:r>
          </w:p>
        </w:tc>
      </w:tr>
      <w:tr>
        <w:trPr>
          <w:cantSplit/>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质量指标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设备合格率</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合格的设备数量占总设备的比例</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rPr>
              <w:t>100%</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行业标准</w:t>
            </w:r>
          </w:p>
        </w:tc>
      </w:tr>
      <w:tr>
        <w:trPr>
          <w:cantSplit/>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质量指标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招投标程序规范性</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招标程序是否符合规定，包括施工单选定、设计、监理单位选定的规范性</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计划指标</w:t>
            </w:r>
          </w:p>
        </w:tc>
      </w:tr>
      <w:tr>
        <w:trPr>
          <w:cantSplit/>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质量指标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工程质量合格率</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合格的工程数量占总工程的比例</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行业标准</w:t>
            </w:r>
          </w:p>
        </w:tc>
      </w:tr>
      <w:tr>
        <w:trPr>
          <w:cantSplit/>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时效指标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项目完工时间</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按合同约定时间完工</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按合同时间约定</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计划指标</w:t>
            </w:r>
          </w:p>
        </w:tc>
      </w:tr>
      <w:tr>
        <w:trPr>
          <w:cantSplit/>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成本指标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项目预算控制数</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项目总成本控制</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≤159.3万元</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计划指标</w:t>
            </w:r>
          </w:p>
        </w:tc>
      </w:tr>
      <w:tr>
        <w:trPr>
          <w:cantSplit/>
          <w:trHeight w:val="369"/>
        </w:trPr>
        <w:tc>
          <w:tcPr>
            <w:tcW w:w="113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hint="eastAsia"/>
              </w:rPr>
            </w:pPr>
            <w:r>
              <w:rPr>
                <w:rFonts w:ascii="方正书宋_GBK" w:eastAsia="方正书宋_GBK" w:hint="eastAsia"/>
              </w:rPr>
              <w:t>效益指标</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经济效益指标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增加农户收入</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通过提供产后服务，增强农户议价能力，对农民收入的带动作用</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有效提高</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计划指标</w:t>
            </w:r>
          </w:p>
        </w:tc>
      </w:tr>
      <w:tr>
        <w:trPr>
          <w:cantSplit/>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社会效益指标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保障粮食供给安全</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通过提供产后服务，提高我市粮食供给保障能力</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有效提高</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计划指标</w:t>
            </w:r>
          </w:p>
        </w:tc>
      </w:tr>
      <w:tr>
        <w:trPr>
          <w:cantSplit/>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社会效益指标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储粮能力</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储量能力提高情况</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≥10000吨</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计划指标</w:t>
            </w:r>
          </w:p>
        </w:tc>
      </w:tr>
      <w:tr>
        <w:trPr>
          <w:cantSplit/>
          <w:trHeight w:val="369"/>
        </w:trPr>
        <w:tc>
          <w:tcPr>
            <w:tcW w:w="113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hint="eastAsia"/>
              </w:rPr>
            </w:pPr>
            <w:r>
              <w:rPr>
                <w:rFonts w:ascii="方正书宋_GBK" w:eastAsia="方正书宋_GBK" w:hint="eastAsia"/>
              </w:rPr>
              <w:t>满意度指标</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服务对象满意度指标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企业满意度</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通过问卷调查，反映满意单位占调查单位的比例</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≥95%</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问卷调查</w:t>
            </w:r>
          </w:p>
        </w:tc>
      </w:tr>
      <w:tr>
        <w:trPr>
          <w:cantSplit/>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服务对象满意度指标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农户满意度</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通过问卷调查，反映满意单位占调查单位的比例</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≥95%</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问卷调查</w:t>
            </w:r>
          </w:p>
        </w:tc>
      </w:tr>
    </w:tbl>
    <w:p>
      <w:pPr>
        <w:spacing w:line="300" w:lineRule="exact"/>
        <w:jc w:val="left"/>
        <w:sectPr>
          <w:pgSz w:w="11907" w:h="16839"/>
          <w:pgMar w:top="1984" w:right="1304" w:bottom="1134" w:left="1304" w:header="851" w:footer="992" w:gutter="0"/>
          <w:docGrid w:type="lines" w:linePitch="312" w:charSpace="0"/>
        </w:sectPr>
      </w:pPr>
    </w:p>
    <w:p>
      <w:pPr>
        <w:spacing w:line="300" w:lineRule="exact"/>
        <w:jc w:val="left"/>
      </w:pPr>
    </w:p>
    <w:p>
      <w:pPr>
        <w:ind w:firstLineChars="200" w:firstLine="560"/>
        <w:jc w:val="left"/>
        <w:outlineLvl w:val="3"/>
        <w:rPr>
          <w:rFonts w:ascii="Times New Roman" w:hAnsi="Times New Roman"/>
          <w:b/>
          <w:sz w:val="28"/>
        </w:rPr>
      </w:pPr>
      <w:bookmarkStart w:id="11" w:name="_Toc65759949"/>
      <w:r>
        <w:rPr>
          <w:rFonts w:ascii="方正仿宋_GBK" w:eastAsia="方正仿宋_GBK" w:hint="eastAsia"/>
          <w:b/>
          <w:sz w:val="28"/>
        </w:rPr>
        <w:t>6.节能监察监测经费绩效目标表</w:t>
      </w:r>
      <w:bookmarkEnd w:id="11"/>
      <w:r>
        <w:rPr>
          <w:rFonts w:ascii="方正仿宋_GBK" w:eastAsia="方正仿宋_GBK"/>
          <w:b/>
          <w:vanish/>
          <w:sz w:val="28"/>
        </w:rPr>
        <w:t xml:space="preserve">{ </w:t>
      </w:r>
      <w:r>
        <w:rPr>
          <w:rFonts w:ascii="方正仿宋_GBK" w:eastAsia="方正仿宋_GBK" w:hint="eastAsia"/>
          <w:b/>
          <w:vanish/>
          <w:sz w:val="28"/>
        </w:rPr>
        <w:t>TC 6、节能监察监测经费绩效目标表 \f C \l 1</w:t>
      </w:r>
      <w:r>
        <w:rPr>
          <w:rFonts w:ascii="方正仿宋_GBK" w:eastAsia="方正仿宋_GBK"/>
          <w:b/>
          <w:vanish/>
          <w:sz w:val="28"/>
        </w:rPr>
        <w:t xml:space="preserve"> }</w:t>
      </w:r>
    </w:p>
    <w:tbl>
      <w:tblPr>
        <w:jc w:val="center"/>
        <w:tblW w:w="94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rPr>
          <w:trHeight w:val="397"/>
        </w:trPr>
        <w:tc>
          <w:tcPr>
            <w:tcW w:w="7711" w:type="dxa"/>
            <w:gridSpan w:val="6"/>
            <w:tcBorders>
              <w:top w:val="single" w:sz="6" w:space="0" w:color="FFFFFF"/>
              <w:left w:val="single" w:sz="6" w:space="0" w:color="FFFFFF"/>
              <w:bottom w:val="single" w:sz="6" w:space="0" w:color="000000"/>
              <w:right w:val="single" w:sz="6" w:space="0" w:color="FFFFFF"/>
            </w:tcBorders>
            <w:shd w:val="clear" w:color="auto" w:fill="auto"/>
            <w:vAlign w:val="center"/>
          </w:tcPr>
          <w:p>
            <w:pPr>
              <w:spacing w:line="300" w:lineRule="exact"/>
              <w:jc w:val="left"/>
              <w:rPr>
                <w:rFonts w:ascii="方正书宋_GBK" w:eastAsia="方正书宋_GBK"/>
                <w:b/>
              </w:rPr>
            </w:pPr>
            <w:r>
              <w:rPr>
                <w:rFonts w:ascii="方正书宋_GBK" w:eastAsia="方正书宋_GBK" w:hint="eastAsia"/>
                <w:b/>
              </w:rPr>
              <w:t>810001霸州市发展和改革局本级</w:t>
            </w:r>
          </w:p>
        </w:tc>
        <w:tc>
          <w:tcPr>
            <w:tcW w:w="1701" w:type="dxa"/>
            <w:tcBorders>
              <w:top w:val="single" w:sz="6" w:space="0" w:color="FFFFFF"/>
              <w:left w:val="single" w:sz="6" w:space="0" w:color="FFFFFF"/>
              <w:bottom w:val="single" w:sz="6" w:space="0" w:color="000000"/>
              <w:right w:val="single" w:sz="6" w:space="0" w:color="FFFFFF"/>
            </w:tcBorders>
            <w:shd w:val="clear" w:color="auto" w:fill="auto"/>
            <w:vAlign w:val="center"/>
          </w:tcPr>
          <w:p>
            <w:pPr>
              <w:spacing w:line="300" w:lineRule="exact"/>
              <w:jc w:val="right"/>
              <w:rPr>
                <w:rFonts w:ascii="方正书宋_GBK" w:eastAsia="方正书宋_GBK"/>
              </w:rPr>
            </w:pPr>
            <w:r>
              <w:rPr>
                <w:rFonts w:ascii="方正书宋_GBK" w:eastAsia="方正书宋_GBK" w:hint="eastAsia"/>
              </w:rPr>
              <w:t>单位：万元</w:t>
            </w:r>
          </w:p>
        </w:tc>
      </w:tr>
      <w:tr>
        <w:trPr>
          <w:trHeight w:val="369"/>
        </w:trPr>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rPr>
              <w:t>131081218WGOR65E8BRD4</w:t>
            </w:r>
          </w:p>
        </w:tc>
        <w:tc>
          <w:tcPr>
            <w:tcW w:w="1587"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节能监察监测经费</w:t>
            </w:r>
          </w:p>
        </w:tc>
      </w:tr>
      <w:tr>
        <w:trPr>
          <w:trHeight w:val="369"/>
        </w:trPr>
        <w:tc>
          <w:tcPr>
            <w:tcW w:w="113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预算数</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rPr>
              <w:t>10.00</w:t>
            </w:r>
          </w:p>
        </w:tc>
        <w:tc>
          <w:tcPr>
            <w:tcW w:w="1587"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rPr>
              <w:t>10.00</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其他资金</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rPr>
              <w:t>0</w:t>
            </w:r>
          </w:p>
        </w:tc>
      </w:tr>
      <w:tr>
        <w:trPr>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8278"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2021年度主要工作是对全市节能工作进行监察，对供用能单位进行监测，开展节能宣传培训。按照工作进度，2021年11月30日之前拨付各项工作经费，确保我市节能监察监测工作顺利实施。</w:t>
            </w:r>
          </w:p>
        </w:tc>
      </w:tr>
      <w:tr>
        <w:trPr>
          <w:trHeight w:val="369"/>
        </w:trPr>
        <w:tc>
          <w:tcPr>
            <w:tcW w:w="113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资金支出计划（%）</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3月底</w:t>
            </w:r>
          </w:p>
        </w:tc>
        <w:tc>
          <w:tcPr>
            <w:tcW w:w="1587"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6月底</w:t>
            </w:r>
          </w:p>
        </w:tc>
        <w:tc>
          <w:tcPr>
            <w:tcW w:w="130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10月底</w:t>
            </w:r>
          </w:p>
        </w:tc>
        <w:tc>
          <w:tcPr>
            <w:tcW w:w="297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12月底</w:t>
            </w:r>
          </w:p>
        </w:tc>
      </w:tr>
      <w:tr>
        <w:trPr>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r>
              <w:rPr>
                <w:rFonts w:ascii="方正书宋_GBK" w:eastAsia="方正书宋_GBK"/>
              </w:rPr>
              <w:t>30.00%</w:t>
            </w:r>
          </w:p>
        </w:tc>
        <w:tc>
          <w:tcPr>
            <w:tcW w:w="1587"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r>
              <w:rPr>
                <w:rFonts w:ascii="方正书宋_GBK" w:eastAsia="方正书宋_GBK"/>
              </w:rPr>
              <w:t>60.00%</w:t>
            </w:r>
          </w:p>
        </w:tc>
        <w:tc>
          <w:tcPr>
            <w:tcW w:w="130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r>
              <w:rPr>
                <w:rFonts w:ascii="方正书宋_GBK" w:eastAsia="方正书宋_GBK"/>
              </w:rPr>
              <w:t>90.00%</w:t>
            </w:r>
          </w:p>
        </w:tc>
        <w:tc>
          <w:tcPr>
            <w:tcW w:w="297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rPr>
          <w:trHeight w:val="369"/>
        </w:trPr>
        <w:tc>
          <w:tcPr>
            <w:tcW w:w="1134" w:type="dxa"/>
            <w:tcBorders>
              <w:top w:val="single" w:sz="6" w:space="0" w:color="000000"/>
              <w:left w:val="single" w:sz="6" w:space="0" w:color="000000"/>
              <w:bottom w:val="nil"/>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top w:val="single" w:sz="6" w:space="0" w:color="000000"/>
              <w:left w:val="single" w:sz="6" w:space="0" w:color="000000"/>
              <w:bottom w:val="nil"/>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1.根据上级文件在2020年节能宣传周和低碳日期间对各乡镇（区、办）及重点用能企业发放宣传手册不低于2000册，开展节能宣传培训为期一周；确保我市节能监察监测工作顺利实施，用能企业和百姓的认知。</w:t>
            </w:r>
          </w:p>
        </w:tc>
      </w:tr>
    </w:tbl>
    <w:p>
      <w:pPr>
        <w:spacing w:line="14" w:lineRule="exact"/>
        <w:jc w:val="center"/>
        <w:rPr>
          <w:rFonts w:ascii="Times New Roman" w:hAnsi="Times New Roman"/>
        </w:rPr>
      </w:pPr>
      <w:r>
        <w:rPr>
          <w:rFonts w:ascii="方正书宋_GBK" w:eastAsia="方正书宋_GBK"/>
        </w:rPr>
        <w:t xml:space="preserve"> </w:t>
      </w:r>
    </w:p>
    <w:tbl>
      <w:tblPr>
        <w:jc w:val="center"/>
        <w:tblW w:w="94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134"/>
        <w:gridCol w:w="1134"/>
        <w:gridCol w:w="1276"/>
        <w:gridCol w:w="2891"/>
        <w:gridCol w:w="1276"/>
        <w:gridCol w:w="1701"/>
      </w:tblGrid>
      <w:tr>
        <w:trPr>
          <w:cantSplit/>
          <w:trHeight w:val="397"/>
          <w:tblHeader/>
        </w:trPr>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一级指标</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二级指标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三级指标</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指标值</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指标值确定依据</w:t>
            </w:r>
          </w:p>
        </w:tc>
      </w:tr>
      <w:tr>
        <w:trPr>
          <w:cantSplit/>
          <w:trHeight w:val="369"/>
        </w:trPr>
        <w:tc>
          <w:tcPr>
            <w:tcW w:w="113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r>
              <w:rPr>
                <w:rFonts w:ascii="方正书宋_GBK" w:eastAsia="方正书宋_GBK" w:hint="eastAsia"/>
              </w:rPr>
              <w:t>产出指标</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数量指标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对企业进行节能监察数量</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配合省市发改委节能中心对我市钢铁压延、造纸、玻璃等重点用能企业进行节能监察</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≥13个</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计划指标</w:t>
            </w:r>
          </w:p>
        </w:tc>
      </w:tr>
      <w:tr>
        <w:trPr>
          <w:cantSplit/>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数量指标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发放宣传资料数量</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对各乡镇（区、办）及重点用能企业发放宣传册</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≥2000册</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计划指标</w:t>
            </w:r>
          </w:p>
        </w:tc>
      </w:tr>
      <w:tr>
        <w:trPr>
          <w:cantSplit/>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数量指标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开展节能宣传</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节能宣传周和低碳日期间开展节能宣传培训时长</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1周</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计划指标</w:t>
            </w:r>
          </w:p>
        </w:tc>
      </w:tr>
      <w:tr>
        <w:trPr>
          <w:cantSplit/>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质量指标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各项工作合格率</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各项工作合格率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rPr>
              <w:t>100%</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计划指标</w:t>
            </w:r>
          </w:p>
        </w:tc>
      </w:tr>
      <w:tr>
        <w:trPr>
          <w:cantSplit/>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时效指标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按时完成率</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各项工作按时完成率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计划指标</w:t>
            </w:r>
          </w:p>
        </w:tc>
      </w:tr>
      <w:tr>
        <w:trPr>
          <w:cantSplit/>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成本指标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项目预算控制数</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项目预算控制数</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≤15万元</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计划指标</w:t>
            </w:r>
          </w:p>
        </w:tc>
      </w:tr>
      <w:tr>
        <w:trPr>
          <w:cantSplit/>
          <w:trHeight w:val="369"/>
        </w:trPr>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hint="eastAsia"/>
              </w:rPr>
            </w:pPr>
            <w:r>
              <w:rPr>
                <w:rFonts w:ascii="方正书宋_GBK" w:eastAsia="方正书宋_GBK" w:hint="eastAsia"/>
              </w:rPr>
              <w:t>效益指标</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社会效益指标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节能监察宣传覆盖率</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节能监察宣传是否覆盖各乡镇及重点用能企业</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rPr>
              <w:t>100%</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计划指标</w:t>
            </w:r>
          </w:p>
        </w:tc>
      </w:tr>
      <w:tr>
        <w:trPr>
          <w:cantSplit/>
          <w:trHeight w:val="369"/>
        </w:trPr>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hint="eastAsia"/>
              </w:rPr>
            </w:pPr>
            <w:r>
              <w:rPr>
                <w:rFonts w:ascii="方正书宋_GBK" w:eastAsia="方正书宋_GBK" w:hint="eastAsia"/>
              </w:rPr>
              <w:t>满意度指标</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服务对象满意度指标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接受节能监察企业满意度</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接受节能监察企业对节能监察工作的满意程度</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≥95%</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计划指标</w:t>
            </w:r>
          </w:p>
        </w:tc>
      </w:tr>
    </w:tbl>
    <w:p>
      <w:pPr>
        <w:spacing w:line="300" w:lineRule="exact"/>
        <w:jc w:val="left"/>
        <w:sectPr>
          <w:pgSz w:w="11907" w:h="16839"/>
          <w:pgMar w:top="1984" w:right="1304" w:bottom="1134" w:left="1304" w:header="851" w:footer="992" w:gutter="0"/>
          <w:docGrid w:type="lines" w:linePitch="312" w:charSpace="0"/>
        </w:sectPr>
      </w:pPr>
    </w:p>
    <w:p>
      <w:pPr>
        <w:spacing w:line="300" w:lineRule="exact"/>
        <w:jc w:val="left"/>
      </w:pPr>
    </w:p>
    <w:p>
      <w:pPr>
        <w:ind w:firstLineChars="200" w:firstLine="560"/>
        <w:jc w:val="left"/>
        <w:outlineLvl w:val="3"/>
        <w:rPr>
          <w:rFonts w:ascii="Times New Roman" w:hAnsi="Times New Roman"/>
          <w:b/>
          <w:sz w:val="28"/>
        </w:rPr>
      </w:pPr>
      <w:bookmarkStart w:id="12" w:name="_Toc65759950"/>
      <w:r>
        <w:rPr>
          <w:rFonts w:ascii="方正仿宋_GBK" w:eastAsia="方正仿宋_GBK" w:hint="eastAsia"/>
          <w:b/>
          <w:sz w:val="28"/>
        </w:rPr>
        <w:t>7.霸州市“十四五”规划纲要编制经费★绩效目标表</w:t>
      </w:r>
      <w:bookmarkEnd w:id="12"/>
      <w:r>
        <w:rPr>
          <w:rFonts w:ascii="方正仿宋_GBK" w:eastAsia="方正仿宋_GBK"/>
          <w:b/>
          <w:vanish/>
          <w:sz w:val="28"/>
        </w:rPr>
        <w:t xml:space="preserve">{ </w:t>
      </w:r>
      <w:r>
        <w:rPr>
          <w:rFonts w:ascii="方正仿宋_GBK" w:eastAsia="方正仿宋_GBK" w:hint="eastAsia"/>
          <w:b/>
          <w:vanish/>
          <w:sz w:val="28"/>
        </w:rPr>
        <w:t>TC 7、霸州市\“十四五\”规划纲要编制经费★绩效目标表 \f C \l 1</w:t>
      </w:r>
      <w:r>
        <w:rPr>
          <w:rFonts w:ascii="方正仿宋_GBK" w:eastAsia="方正仿宋_GBK"/>
          <w:b/>
          <w:vanish/>
          <w:sz w:val="28"/>
        </w:rPr>
        <w:t xml:space="preserve"> }</w:t>
      </w:r>
    </w:p>
    <w:tbl>
      <w:tblPr>
        <w:jc w:val="center"/>
        <w:tblW w:w="94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rPr>
          <w:trHeight w:val="397"/>
        </w:trPr>
        <w:tc>
          <w:tcPr>
            <w:tcW w:w="7711" w:type="dxa"/>
            <w:gridSpan w:val="6"/>
            <w:tcBorders>
              <w:top w:val="single" w:sz="6" w:space="0" w:color="FFFFFF"/>
              <w:left w:val="single" w:sz="6" w:space="0" w:color="FFFFFF"/>
              <w:bottom w:val="single" w:sz="6" w:space="0" w:color="000000"/>
              <w:right w:val="single" w:sz="6" w:space="0" w:color="FFFFFF"/>
            </w:tcBorders>
            <w:shd w:val="clear" w:color="auto" w:fill="auto"/>
            <w:vAlign w:val="center"/>
          </w:tcPr>
          <w:p>
            <w:pPr>
              <w:spacing w:line="300" w:lineRule="exact"/>
              <w:jc w:val="left"/>
              <w:rPr>
                <w:rFonts w:ascii="方正书宋_GBK" w:eastAsia="方正书宋_GBK"/>
                <w:b/>
              </w:rPr>
            </w:pPr>
            <w:r>
              <w:rPr>
                <w:rFonts w:ascii="方正书宋_GBK" w:eastAsia="方正书宋_GBK" w:hint="eastAsia"/>
                <w:b/>
              </w:rPr>
              <w:t>810001霸州市发展和改革局本级</w:t>
            </w:r>
          </w:p>
        </w:tc>
        <w:tc>
          <w:tcPr>
            <w:tcW w:w="1701" w:type="dxa"/>
            <w:tcBorders>
              <w:top w:val="single" w:sz="6" w:space="0" w:color="FFFFFF"/>
              <w:left w:val="single" w:sz="6" w:space="0" w:color="FFFFFF"/>
              <w:bottom w:val="single" w:sz="6" w:space="0" w:color="000000"/>
              <w:right w:val="single" w:sz="6" w:space="0" w:color="FFFFFF"/>
            </w:tcBorders>
            <w:shd w:val="clear" w:color="auto" w:fill="auto"/>
            <w:vAlign w:val="center"/>
          </w:tcPr>
          <w:p>
            <w:pPr>
              <w:spacing w:line="300" w:lineRule="exact"/>
              <w:jc w:val="right"/>
              <w:rPr>
                <w:rFonts w:ascii="方正书宋_GBK" w:eastAsia="方正书宋_GBK"/>
              </w:rPr>
            </w:pPr>
            <w:r>
              <w:rPr>
                <w:rFonts w:ascii="方正书宋_GBK" w:eastAsia="方正书宋_GBK" w:hint="eastAsia"/>
              </w:rPr>
              <w:t>单位：万元</w:t>
            </w:r>
          </w:p>
        </w:tc>
      </w:tr>
      <w:tr>
        <w:trPr>
          <w:trHeight w:val="369"/>
        </w:trPr>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rPr>
              <w:t>131081219G12GB7IHB734</w:t>
            </w:r>
          </w:p>
        </w:tc>
        <w:tc>
          <w:tcPr>
            <w:tcW w:w="1587"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霸州市“十四五”规划纲要编制经费★</w:t>
            </w:r>
          </w:p>
        </w:tc>
      </w:tr>
      <w:tr>
        <w:trPr>
          <w:trHeight w:val="369"/>
        </w:trPr>
        <w:tc>
          <w:tcPr>
            <w:tcW w:w="113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预算数</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rPr>
              <w:t>29.60</w:t>
            </w:r>
          </w:p>
        </w:tc>
        <w:tc>
          <w:tcPr>
            <w:tcW w:w="1587"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rPr>
              <w:t>29.60</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其他资金</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rPr>
              <w:t>0</w:t>
            </w:r>
          </w:p>
        </w:tc>
      </w:tr>
      <w:tr>
        <w:trPr>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8278"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2020年4月完成招标，10月31日前编制完成重大专题研究及规划框架，11月30日前编制完成《霸州市国民经济和社会发展第十四个五年规划纲要》，经过专家论证和市政府常务会、市委常委会、市人代会审议通过后，提交印发最终规划文件。</w:t>
            </w:r>
          </w:p>
        </w:tc>
      </w:tr>
      <w:tr>
        <w:trPr>
          <w:trHeight w:val="369"/>
        </w:trPr>
        <w:tc>
          <w:tcPr>
            <w:tcW w:w="113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资金支出计划（%）</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3月底</w:t>
            </w:r>
          </w:p>
        </w:tc>
        <w:tc>
          <w:tcPr>
            <w:tcW w:w="1587"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6月底</w:t>
            </w:r>
          </w:p>
        </w:tc>
        <w:tc>
          <w:tcPr>
            <w:tcW w:w="130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10月底</w:t>
            </w:r>
          </w:p>
        </w:tc>
        <w:tc>
          <w:tcPr>
            <w:tcW w:w="297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12月底</w:t>
            </w:r>
          </w:p>
        </w:tc>
      </w:tr>
      <w:tr>
        <w:trPr>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p>
        </w:tc>
        <w:tc>
          <w:tcPr>
            <w:tcW w:w="1587"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c>
          <w:tcPr>
            <w:tcW w:w="130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rPr>
          <w:trHeight w:val="369"/>
        </w:trPr>
        <w:tc>
          <w:tcPr>
            <w:tcW w:w="1134" w:type="dxa"/>
            <w:tcBorders>
              <w:top w:val="single" w:sz="6" w:space="0" w:color="000000"/>
              <w:left w:val="single" w:sz="6" w:space="0" w:color="000000"/>
              <w:bottom w:val="nil"/>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top w:val="single" w:sz="6" w:space="0" w:color="000000"/>
              <w:left w:val="single" w:sz="6" w:space="0" w:color="000000"/>
              <w:bottom w:val="nil"/>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1.2020年11月30日前编制完成《霸州市国民经济和社会发展第十四个五年规划纲要》，贯彻落实国家、省和廊坊市相关政策任务，解决我市经济发展面临的问题，并经专家组论证，经市政府常务会、市委常委会、市人代会审议通过，2021年6月前按合同支付尾款29.60万元</w:t>
            </w:r>
          </w:p>
        </w:tc>
      </w:tr>
    </w:tbl>
    <w:p>
      <w:pPr>
        <w:spacing w:line="14" w:lineRule="exact"/>
        <w:jc w:val="center"/>
        <w:rPr>
          <w:rFonts w:ascii="Times New Roman" w:hAnsi="Times New Roman"/>
        </w:rPr>
      </w:pPr>
      <w:r>
        <w:rPr>
          <w:rFonts w:ascii="方正书宋_GBK" w:eastAsia="方正书宋_GBK"/>
        </w:rPr>
        <w:t xml:space="preserve"> </w:t>
      </w:r>
    </w:p>
    <w:tbl>
      <w:tblPr>
        <w:jc w:val="center"/>
        <w:tblW w:w="94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134"/>
        <w:gridCol w:w="1134"/>
        <w:gridCol w:w="1276"/>
        <w:gridCol w:w="2891"/>
        <w:gridCol w:w="1276"/>
        <w:gridCol w:w="1701"/>
      </w:tblGrid>
      <w:tr>
        <w:trPr>
          <w:cantSplit/>
          <w:trHeight w:val="397"/>
          <w:tblHeader/>
        </w:trPr>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一级指标</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二级指标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三级指标</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指标值</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指标值确定依据</w:t>
            </w:r>
          </w:p>
        </w:tc>
      </w:tr>
      <w:tr>
        <w:trPr>
          <w:cantSplit/>
          <w:trHeight w:val="369"/>
        </w:trPr>
        <w:tc>
          <w:tcPr>
            <w:tcW w:w="113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r>
              <w:rPr>
                <w:rFonts w:ascii="方正书宋_GBK" w:eastAsia="方正书宋_GBK" w:hint="eastAsia"/>
              </w:rPr>
              <w:t>产出指标</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数量指标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规划数量</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规划数量</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1套</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计划指标</w:t>
            </w:r>
          </w:p>
        </w:tc>
      </w:tr>
      <w:tr>
        <w:trPr>
          <w:cantSplit/>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质量指标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专家评审通过率</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通过专家论证，验收合格率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rPr>
              <w:t>100%</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计划指标</w:t>
            </w:r>
          </w:p>
        </w:tc>
      </w:tr>
      <w:tr>
        <w:trPr>
          <w:cantSplit/>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时效指标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按时完成率</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按时完成率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计划指标</w:t>
            </w:r>
          </w:p>
        </w:tc>
      </w:tr>
      <w:tr>
        <w:trPr>
          <w:cantSplit/>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成本指标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项目预算控制数</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按合同支付尾款</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29.6万元</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计划指标</w:t>
            </w:r>
          </w:p>
        </w:tc>
      </w:tr>
      <w:tr>
        <w:trPr>
          <w:cantSplit/>
          <w:trHeight w:val="369"/>
        </w:trPr>
        <w:tc>
          <w:tcPr>
            <w:tcW w:w="113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hint="eastAsia"/>
              </w:rPr>
            </w:pPr>
            <w:r>
              <w:rPr>
                <w:rFonts w:ascii="方正书宋_GBK" w:eastAsia="方正书宋_GBK" w:hint="eastAsia"/>
              </w:rPr>
              <w:t>效益指标</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社会效益指标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对国民经济和社会发展影响</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对霸州市国民经济和社会发展的影响</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指导霸州市各项事业高质量发展</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计划指标</w:t>
            </w:r>
          </w:p>
        </w:tc>
      </w:tr>
      <w:tr>
        <w:trPr>
          <w:cantSplit/>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可持续影响指标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规划影响时间</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对霸州市国民经济和社会发展影响的持续时间</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≥5年</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计划指标</w:t>
            </w:r>
          </w:p>
        </w:tc>
      </w:tr>
      <w:tr>
        <w:trPr>
          <w:cantSplit/>
          <w:trHeight w:val="369"/>
        </w:trPr>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hint="eastAsia"/>
              </w:rPr>
            </w:pPr>
            <w:r>
              <w:rPr>
                <w:rFonts w:ascii="方正书宋_GBK" w:eastAsia="方正书宋_GBK" w:hint="eastAsia"/>
              </w:rPr>
              <w:t>满意度指标</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服务对象满意度指标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上级主管部门、各委办局满意度</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在社会各界征求意见过程中，未收到异议的编制内容占比</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≥90%</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计划指标</w:t>
            </w:r>
          </w:p>
        </w:tc>
      </w:tr>
    </w:tbl>
    <w:p>
      <w:pPr>
        <w:spacing w:line="300" w:lineRule="exact"/>
        <w:jc w:val="left"/>
        <w:sectPr>
          <w:pgSz w:w="11907" w:h="16839"/>
          <w:pgMar w:top="1984" w:right="1304" w:bottom="1134" w:left="1304" w:header="851" w:footer="992" w:gutter="0"/>
          <w:docGrid w:type="lines" w:linePitch="312" w:charSpace="0"/>
        </w:sectPr>
      </w:pPr>
    </w:p>
    <w:p>
      <w:pPr>
        <w:spacing w:line="300" w:lineRule="exact"/>
        <w:jc w:val="left"/>
      </w:pPr>
    </w:p>
    <w:p>
      <w:pPr>
        <w:ind w:firstLineChars="200" w:firstLine="560"/>
        <w:jc w:val="left"/>
        <w:outlineLvl w:val="3"/>
        <w:rPr>
          <w:rFonts w:ascii="Times New Roman" w:hAnsi="Times New Roman"/>
          <w:b/>
          <w:sz w:val="28"/>
        </w:rPr>
      </w:pPr>
      <w:bookmarkStart w:id="13" w:name="_Toc65759951"/>
      <w:r>
        <w:rPr>
          <w:rFonts w:ascii="方正仿宋_GBK" w:eastAsia="方正仿宋_GBK" w:hint="eastAsia"/>
          <w:b/>
          <w:sz w:val="28"/>
        </w:rPr>
        <w:t>8.企业改制人员生活费绩效目标表</w:t>
      </w:r>
      <w:bookmarkEnd w:id="13"/>
      <w:r>
        <w:rPr>
          <w:rFonts w:ascii="方正仿宋_GBK" w:eastAsia="方正仿宋_GBK"/>
          <w:b/>
          <w:vanish/>
          <w:sz w:val="28"/>
        </w:rPr>
        <w:t xml:space="preserve">{ </w:t>
      </w:r>
      <w:r>
        <w:rPr>
          <w:rFonts w:ascii="方正仿宋_GBK" w:eastAsia="方正仿宋_GBK" w:hint="eastAsia"/>
          <w:b/>
          <w:vanish/>
          <w:sz w:val="28"/>
        </w:rPr>
        <w:t>TC 8、企业改制人员生活费绩效目标表 \f C \l 1</w:t>
      </w:r>
      <w:r>
        <w:rPr>
          <w:rFonts w:ascii="方正仿宋_GBK" w:eastAsia="方正仿宋_GBK"/>
          <w:b/>
          <w:vanish/>
          <w:sz w:val="28"/>
        </w:rPr>
        <w:t xml:space="preserve"> }</w:t>
      </w:r>
    </w:p>
    <w:tbl>
      <w:tblPr>
        <w:jc w:val="center"/>
        <w:tblW w:w="94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rPr>
          <w:trHeight w:val="397"/>
        </w:trPr>
        <w:tc>
          <w:tcPr>
            <w:tcW w:w="7711" w:type="dxa"/>
            <w:gridSpan w:val="6"/>
            <w:tcBorders>
              <w:top w:val="single" w:sz="6" w:space="0" w:color="FFFFFF"/>
              <w:left w:val="single" w:sz="6" w:space="0" w:color="FFFFFF"/>
              <w:bottom w:val="single" w:sz="6" w:space="0" w:color="000000"/>
              <w:right w:val="single" w:sz="6" w:space="0" w:color="FFFFFF"/>
            </w:tcBorders>
            <w:shd w:val="clear" w:color="auto" w:fill="auto"/>
            <w:vAlign w:val="center"/>
          </w:tcPr>
          <w:p>
            <w:pPr>
              <w:spacing w:line="300" w:lineRule="exact"/>
              <w:jc w:val="left"/>
              <w:rPr>
                <w:rFonts w:ascii="方正书宋_GBK" w:eastAsia="方正书宋_GBK"/>
                <w:b/>
              </w:rPr>
            </w:pPr>
            <w:r>
              <w:rPr>
                <w:rFonts w:ascii="方正书宋_GBK" w:eastAsia="方正书宋_GBK" w:hint="eastAsia"/>
                <w:b/>
              </w:rPr>
              <w:t>810001霸州市发展和改革局本级</w:t>
            </w:r>
          </w:p>
        </w:tc>
        <w:tc>
          <w:tcPr>
            <w:tcW w:w="1701" w:type="dxa"/>
            <w:tcBorders>
              <w:top w:val="single" w:sz="6" w:space="0" w:color="FFFFFF"/>
              <w:left w:val="single" w:sz="6" w:space="0" w:color="FFFFFF"/>
              <w:bottom w:val="single" w:sz="6" w:space="0" w:color="000000"/>
              <w:right w:val="single" w:sz="6" w:space="0" w:color="FFFFFF"/>
            </w:tcBorders>
            <w:shd w:val="clear" w:color="auto" w:fill="auto"/>
            <w:vAlign w:val="center"/>
          </w:tcPr>
          <w:p>
            <w:pPr>
              <w:spacing w:line="300" w:lineRule="exact"/>
              <w:jc w:val="right"/>
              <w:rPr>
                <w:rFonts w:ascii="方正书宋_GBK" w:eastAsia="方正书宋_GBK"/>
              </w:rPr>
            </w:pPr>
            <w:r>
              <w:rPr>
                <w:rFonts w:ascii="方正书宋_GBK" w:eastAsia="方正书宋_GBK" w:hint="eastAsia"/>
              </w:rPr>
              <w:t>单位：万元</w:t>
            </w:r>
          </w:p>
        </w:tc>
      </w:tr>
      <w:tr>
        <w:trPr>
          <w:trHeight w:val="369"/>
        </w:trPr>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rPr>
              <w:t>131081219XQNQ4QGGSL5F</w:t>
            </w:r>
          </w:p>
        </w:tc>
        <w:tc>
          <w:tcPr>
            <w:tcW w:w="1587"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企业改制人员生活费</w:t>
            </w:r>
          </w:p>
        </w:tc>
      </w:tr>
      <w:tr>
        <w:trPr>
          <w:trHeight w:val="369"/>
        </w:trPr>
        <w:tc>
          <w:tcPr>
            <w:tcW w:w="113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预算数</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rPr>
              <w:t>1.30</w:t>
            </w:r>
          </w:p>
        </w:tc>
        <w:tc>
          <w:tcPr>
            <w:tcW w:w="1587"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rPr>
              <w:t>1.30</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其他资金</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rPr>
              <w:t>0</w:t>
            </w:r>
          </w:p>
        </w:tc>
      </w:tr>
      <w:tr>
        <w:trPr>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8278"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依据《霸州市人民政府关于批转《霸州市粮食局关于国有粮食企业改革的实施方案》的通知》发放和缴纳企业改制内退人员生活费、养老保险、遗属补助</w:t>
            </w:r>
          </w:p>
        </w:tc>
      </w:tr>
      <w:tr>
        <w:trPr>
          <w:trHeight w:val="369"/>
        </w:trPr>
        <w:tc>
          <w:tcPr>
            <w:tcW w:w="113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资金支出计划（%）</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3月底</w:t>
            </w:r>
          </w:p>
        </w:tc>
        <w:tc>
          <w:tcPr>
            <w:tcW w:w="1587"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6月底</w:t>
            </w:r>
          </w:p>
        </w:tc>
        <w:tc>
          <w:tcPr>
            <w:tcW w:w="130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10月底</w:t>
            </w:r>
          </w:p>
        </w:tc>
        <w:tc>
          <w:tcPr>
            <w:tcW w:w="297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12月底</w:t>
            </w:r>
          </w:p>
        </w:tc>
      </w:tr>
      <w:tr>
        <w:trPr>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r>
              <w:rPr>
                <w:rFonts w:ascii="方正书宋_GBK" w:eastAsia="方正书宋_GBK"/>
              </w:rPr>
              <w:t>30.00%</w:t>
            </w:r>
          </w:p>
        </w:tc>
        <w:tc>
          <w:tcPr>
            <w:tcW w:w="1587"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r>
              <w:rPr>
                <w:rFonts w:ascii="方正书宋_GBK" w:eastAsia="方正书宋_GBK"/>
              </w:rPr>
              <w:t>60.00%</w:t>
            </w:r>
          </w:p>
        </w:tc>
        <w:tc>
          <w:tcPr>
            <w:tcW w:w="130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r>
              <w:rPr>
                <w:rFonts w:ascii="方正书宋_GBK" w:eastAsia="方正书宋_GBK"/>
              </w:rPr>
              <w:t>90.00%</w:t>
            </w:r>
          </w:p>
        </w:tc>
        <w:tc>
          <w:tcPr>
            <w:tcW w:w="297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rPr>
          <w:trHeight w:val="369"/>
        </w:trPr>
        <w:tc>
          <w:tcPr>
            <w:tcW w:w="1134" w:type="dxa"/>
            <w:tcBorders>
              <w:top w:val="single" w:sz="6" w:space="0" w:color="000000"/>
              <w:left w:val="single" w:sz="6" w:space="0" w:color="000000"/>
              <w:bottom w:val="nil"/>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top w:val="single" w:sz="6" w:space="0" w:color="000000"/>
              <w:left w:val="single" w:sz="6" w:space="0" w:color="000000"/>
              <w:bottom w:val="nil"/>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1.按时按量发放和缴纳12名企业改制内退人员生活费及养老保险，为1名企业遗属人员发放补助，保障职工生活稳定，确保不发生信访问题。</w:t>
            </w:r>
          </w:p>
        </w:tc>
      </w:tr>
    </w:tbl>
    <w:p>
      <w:pPr>
        <w:spacing w:line="14" w:lineRule="exact"/>
        <w:jc w:val="center"/>
        <w:rPr>
          <w:rFonts w:ascii="Times New Roman" w:hAnsi="Times New Roman"/>
        </w:rPr>
      </w:pPr>
      <w:r>
        <w:rPr>
          <w:rFonts w:ascii="方正书宋_GBK" w:eastAsia="方正书宋_GBK"/>
        </w:rPr>
        <w:t xml:space="preserve"> </w:t>
      </w:r>
    </w:p>
    <w:tbl>
      <w:tblPr>
        <w:jc w:val="center"/>
        <w:tblW w:w="94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134"/>
        <w:gridCol w:w="1134"/>
        <w:gridCol w:w="1276"/>
        <w:gridCol w:w="2891"/>
        <w:gridCol w:w="1276"/>
        <w:gridCol w:w="1701"/>
      </w:tblGrid>
      <w:tr>
        <w:trPr>
          <w:cantSplit/>
          <w:trHeight w:val="397"/>
          <w:tblHeader/>
        </w:trPr>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一级指标</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二级指标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三级指标</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指标值</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指标值确定依据</w:t>
            </w:r>
          </w:p>
        </w:tc>
      </w:tr>
      <w:tr>
        <w:trPr>
          <w:cantSplit/>
          <w:trHeight w:val="369"/>
        </w:trPr>
        <w:tc>
          <w:tcPr>
            <w:tcW w:w="113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r>
              <w:rPr>
                <w:rFonts w:ascii="方正书宋_GBK" w:eastAsia="方正书宋_GBK" w:hint="eastAsia"/>
              </w:rPr>
              <w:t>产出指标</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数量指标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企业改制人员人数</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改制人数及企业遗属人数</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≤13人</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计划指标</w:t>
            </w:r>
          </w:p>
        </w:tc>
      </w:tr>
      <w:tr>
        <w:trPr>
          <w:cantSplit/>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质量指标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资金足额到位率</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项目资金到位情况</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rPr>
              <w:t>100%</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计划指标</w:t>
            </w:r>
          </w:p>
        </w:tc>
      </w:tr>
      <w:tr>
        <w:trPr>
          <w:cantSplit/>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时效指标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养老保险及生活费发放时间</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养老保险及生活费发放时间</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按月发放</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计划指标</w:t>
            </w:r>
          </w:p>
        </w:tc>
      </w:tr>
      <w:tr>
        <w:trPr>
          <w:cantSplit/>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时效指标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遗属补助发放时间</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遗属补助发放时间</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按季度发放</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计划指标</w:t>
            </w:r>
          </w:p>
        </w:tc>
      </w:tr>
      <w:tr>
        <w:trPr>
          <w:cantSplit/>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成本指标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项目预算控制数</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项目总预算成本</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≤1.3万元</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计划指标</w:t>
            </w:r>
          </w:p>
        </w:tc>
      </w:tr>
      <w:tr>
        <w:trPr>
          <w:cantSplit/>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成本指标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企业改制内退人员养老保险标准</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企业改制内退人员养老保险标准</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522.13元</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计划指标</w:t>
            </w:r>
          </w:p>
        </w:tc>
      </w:tr>
      <w:tr>
        <w:trPr>
          <w:cantSplit/>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成本指标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企业遗属人员补助标准</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企业遗属人员补助标准</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510元</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计划指标</w:t>
            </w:r>
          </w:p>
        </w:tc>
      </w:tr>
      <w:tr>
        <w:trPr>
          <w:cantSplit/>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成本指标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企业改制内退人员生活费标准</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企业改制内退人员生活费标准</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256元</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计划指标</w:t>
            </w:r>
          </w:p>
        </w:tc>
      </w:tr>
      <w:tr>
        <w:trPr>
          <w:cantSplit/>
          <w:trHeight w:val="369"/>
        </w:trPr>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hint="eastAsia"/>
              </w:rPr>
            </w:pPr>
            <w:r>
              <w:rPr>
                <w:rFonts w:ascii="方正书宋_GBK" w:eastAsia="方正书宋_GBK" w:hint="eastAsia"/>
              </w:rPr>
              <w:t>效益指标</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社会效益指标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职工生活稳定</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不形成上访案件</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≥1件</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历史数据</w:t>
            </w:r>
          </w:p>
        </w:tc>
      </w:tr>
      <w:tr>
        <w:trPr>
          <w:cantSplit/>
          <w:trHeight w:val="369"/>
        </w:trPr>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hint="eastAsia"/>
              </w:rPr>
            </w:pPr>
            <w:r>
              <w:rPr>
                <w:rFonts w:ascii="方正书宋_GBK" w:eastAsia="方正书宋_GBK" w:hint="eastAsia"/>
              </w:rPr>
              <w:t>满意度指标</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服务对象满意度指标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改制人员及企业遗属人员满意度</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改制人员及企业遗属人员满意度</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≥98%</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调查问卷</w:t>
            </w:r>
          </w:p>
        </w:tc>
      </w:tr>
    </w:tbl>
    <w:p>
      <w:pPr>
        <w:spacing w:line="300" w:lineRule="exact"/>
        <w:jc w:val="left"/>
        <w:sectPr>
          <w:pgSz w:w="11907" w:h="16839"/>
          <w:pgMar w:top="1984" w:right="1304" w:bottom="1134" w:left="1304" w:header="851" w:footer="992" w:gutter="0"/>
          <w:docGrid w:type="lines" w:linePitch="312" w:charSpace="0"/>
        </w:sectPr>
      </w:pPr>
    </w:p>
    <w:p>
      <w:pPr>
        <w:spacing w:line="300" w:lineRule="exact"/>
        <w:jc w:val="left"/>
      </w:pPr>
    </w:p>
    <w:p>
      <w:pPr>
        <w:ind w:firstLineChars="200" w:firstLine="560"/>
        <w:jc w:val="left"/>
        <w:outlineLvl w:val="3"/>
        <w:rPr>
          <w:rFonts w:ascii="Times New Roman" w:hAnsi="Times New Roman"/>
          <w:b/>
          <w:sz w:val="28"/>
        </w:rPr>
      </w:pPr>
      <w:bookmarkStart w:id="14" w:name="_Toc65759952"/>
      <w:r>
        <w:rPr>
          <w:rFonts w:ascii="方正仿宋_GBK" w:eastAsia="方正仿宋_GBK" w:hint="eastAsia"/>
          <w:b/>
          <w:sz w:val="28"/>
        </w:rPr>
        <w:t>9.采暖季应急保障资金绩效目标表</w:t>
      </w:r>
      <w:bookmarkEnd w:id="14"/>
      <w:r>
        <w:rPr>
          <w:rFonts w:ascii="方正仿宋_GBK" w:eastAsia="方正仿宋_GBK"/>
          <w:b/>
          <w:vanish/>
          <w:sz w:val="28"/>
        </w:rPr>
        <w:t xml:space="preserve">{ </w:t>
      </w:r>
      <w:r>
        <w:rPr>
          <w:rFonts w:ascii="方正仿宋_GBK" w:eastAsia="方正仿宋_GBK" w:hint="eastAsia"/>
          <w:b/>
          <w:vanish/>
          <w:sz w:val="28"/>
        </w:rPr>
        <w:t>TC 9、采暖季应急保障资金绩效目标表 \f C \l 1</w:t>
      </w:r>
      <w:r>
        <w:rPr>
          <w:rFonts w:ascii="方正仿宋_GBK" w:eastAsia="方正仿宋_GBK"/>
          <w:b/>
          <w:vanish/>
          <w:sz w:val="28"/>
        </w:rPr>
        <w:t xml:space="preserve"> }</w:t>
      </w:r>
    </w:p>
    <w:tbl>
      <w:tblPr>
        <w:jc w:val="center"/>
        <w:tblW w:w="94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rPr>
          <w:trHeight w:val="397"/>
        </w:trPr>
        <w:tc>
          <w:tcPr>
            <w:tcW w:w="7711" w:type="dxa"/>
            <w:gridSpan w:val="6"/>
            <w:tcBorders>
              <w:top w:val="single" w:sz="6" w:space="0" w:color="FFFFFF"/>
              <w:left w:val="single" w:sz="6" w:space="0" w:color="FFFFFF"/>
              <w:bottom w:val="single" w:sz="6" w:space="0" w:color="000000"/>
              <w:right w:val="single" w:sz="6" w:space="0" w:color="FFFFFF"/>
            </w:tcBorders>
            <w:shd w:val="clear" w:color="auto" w:fill="auto"/>
            <w:vAlign w:val="center"/>
          </w:tcPr>
          <w:p>
            <w:pPr>
              <w:spacing w:line="300" w:lineRule="exact"/>
              <w:jc w:val="left"/>
              <w:rPr>
                <w:rFonts w:ascii="方正书宋_GBK" w:eastAsia="方正书宋_GBK"/>
                <w:b/>
              </w:rPr>
            </w:pPr>
            <w:r>
              <w:rPr>
                <w:rFonts w:ascii="方正书宋_GBK" w:eastAsia="方正书宋_GBK" w:hint="eastAsia"/>
                <w:b/>
              </w:rPr>
              <w:t>810001霸州市发展和改革局本级</w:t>
            </w:r>
          </w:p>
        </w:tc>
        <w:tc>
          <w:tcPr>
            <w:tcW w:w="1701" w:type="dxa"/>
            <w:tcBorders>
              <w:top w:val="single" w:sz="6" w:space="0" w:color="FFFFFF"/>
              <w:left w:val="single" w:sz="6" w:space="0" w:color="FFFFFF"/>
              <w:bottom w:val="single" w:sz="6" w:space="0" w:color="000000"/>
              <w:right w:val="single" w:sz="6" w:space="0" w:color="FFFFFF"/>
            </w:tcBorders>
            <w:shd w:val="clear" w:color="auto" w:fill="auto"/>
            <w:vAlign w:val="center"/>
          </w:tcPr>
          <w:p>
            <w:pPr>
              <w:spacing w:line="300" w:lineRule="exact"/>
              <w:jc w:val="right"/>
              <w:rPr>
                <w:rFonts w:ascii="方正书宋_GBK" w:eastAsia="方正书宋_GBK"/>
              </w:rPr>
            </w:pPr>
            <w:r>
              <w:rPr>
                <w:rFonts w:ascii="方正书宋_GBK" w:eastAsia="方正书宋_GBK" w:hint="eastAsia"/>
              </w:rPr>
              <w:t>单位：万元</w:t>
            </w:r>
          </w:p>
        </w:tc>
      </w:tr>
      <w:tr>
        <w:trPr>
          <w:trHeight w:val="369"/>
        </w:trPr>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rPr>
              <w:t>13108121CNAFVNM97EL81</w:t>
            </w:r>
          </w:p>
        </w:tc>
        <w:tc>
          <w:tcPr>
            <w:tcW w:w="1587"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采暖季应急保障资金</w:t>
            </w:r>
          </w:p>
        </w:tc>
      </w:tr>
      <w:tr>
        <w:trPr>
          <w:trHeight w:val="369"/>
        </w:trPr>
        <w:tc>
          <w:tcPr>
            <w:tcW w:w="113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预算数</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rPr>
              <w:t>2000.00</w:t>
            </w:r>
          </w:p>
        </w:tc>
        <w:tc>
          <w:tcPr>
            <w:tcW w:w="1587"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rPr>
              <w:t>2000.00</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其他资金</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rPr>
              <w:t>0</w:t>
            </w:r>
          </w:p>
        </w:tc>
      </w:tr>
      <w:tr>
        <w:trPr>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8278"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此资金对2020-2021年采暖季重点燃气供给霸州中石油昆仑燃气有限公司、霸州胜利顺达燃气有限公司、霸州市铭顺天然气销售有限公司3家重点燃气企业购买LNG、CNG的差价奖补2000万。</w:t>
            </w:r>
          </w:p>
        </w:tc>
      </w:tr>
      <w:tr>
        <w:trPr>
          <w:trHeight w:val="369"/>
        </w:trPr>
        <w:tc>
          <w:tcPr>
            <w:tcW w:w="113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资金支出计划（%）</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3月底</w:t>
            </w:r>
          </w:p>
        </w:tc>
        <w:tc>
          <w:tcPr>
            <w:tcW w:w="1587"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6月底</w:t>
            </w:r>
          </w:p>
        </w:tc>
        <w:tc>
          <w:tcPr>
            <w:tcW w:w="130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10月底</w:t>
            </w:r>
          </w:p>
        </w:tc>
        <w:tc>
          <w:tcPr>
            <w:tcW w:w="297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12月底</w:t>
            </w:r>
          </w:p>
        </w:tc>
      </w:tr>
      <w:tr>
        <w:trPr>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r>
              <w:rPr>
                <w:rFonts w:ascii="方正书宋_GBK" w:eastAsia="方正书宋_GBK"/>
              </w:rPr>
              <w:t>30.00%</w:t>
            </w:r>
          </w:p>
        </w:tc>
        <w:tc>
          <w:tcPr>
            <w:tcW w:w="1587"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r>
              <w:rPr>
                <w:rFonts w:ascii="方正书宋_GBK" w:eastAsia="方正书宋_GBK"/>
              </w:rPr>
              <w:t>60.00%</w:t>
            </w:r>
          </w:p>
        </w:tc>
        <w:tc>
          <w:tcPr>
            <w:tcW w:w="130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r>
              <w:rPr>
                <w:rFonts w:ascii="方正书宋_GBK" w:eastAsia="方正书宋_GBK"/>
              </w:rPr>
              <w:t>90.00%</w:t>
            </w:r>
          </w:p>
        </w:tc>
        <w:tc>
          <w:tcPr>
            <w:tcW w:w="297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rPr>
          <w:trHeight w:val="369"/>
        </w:trPr>
        <w:tc>
          <w:tcPr>
            <w:tcW w:w="1134" w:type="dxa"/>
            <w:tcBorders>
              <w:top w:val="single" w:sz="6" w:space="0" w:color="000000"/>
              <w:left w:val="single" w:sz="6" w:space="0" w:color="000000"/>
              <w:bottom w:val="nil"/>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top w:val="single" w:sz="6" w:space="0" w:color="000000"/>
              <w:left w:val="single" w:sz="6" w:space="0" w:color="000000"/>
              <w:bottom w:val="nil"/>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1.对承担我市主城区域范围内居民用气供气任务的3家燃气企业购买LNG、CNG给予实行奖补2000万元。通过此奖励，保证燃气公司供气、供暖运行正常，因资金短缺出现的非正常运行几率小于0，百姓取暖用气得到保障。</w:t>
            </w:r>
          </w:p>
        </w:tc>
      </w:tr>
    </w:tbl>
    <w:p>
      <w:pPr>
        <w:spacing w:line="14" w:lineRule="exact"/>
        <w:jc w:val="center"/>
        <w:rPr>
          <w:rFonts w:ascii="Times New Roman" w:hAnsi="Times New Roman"/>
        </w:rPr>
      </w:pPr>
      <w:r>
        <w:rPr>
          <w:rFonts w:ascii="方正书宋_GBK" w:eastAsia="方正书宋_GBK"/>
        </w:rPr>
        <w:t xml:space="preserve"> </w:t>
      </w:r>
    </w:p>
    <w:tbl>
      <w:tblPr>
        <w:jc w:val="center"/>
        <w:tblW w:w="94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134"/>
        <w:gridCol w:w="1134"/>
        <w:gridCol w:w="1276"/>
        <w:gridCol w:w="2891"/>
        <w:gridCol w:w="1276"/>
        <w:gridCol w:w="1701"/>
      </w:tblGrid>
      <w:tr>
        <w:trPr>
          <w:cantSplit/>
          <w:trHeight w:val="397"/>
          <w:tblHeader/>
        </w:trPr>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一级指标</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二级指标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三级指标</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指标值</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指标值确定依据</w:t>
            </w:r>
          </w:p>
        </w:tc>
      </w:tr>
      <w:tr>
        <w:trPr>
          <w:cantSplit/>
          <w:trHeight w:val="369"/>
        </w:trPr>
        <w:tc>
          <w:tcPr>
            <w:tcW w:w="113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r>
              <w:rPr>
                <w:rFonts w:ascii="方正书宋_GBK" w:eastAsia="方正书宋_GBK" w:hint="eastAsia"/>
              </w:rPr>
              <w:t>产出指标</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数量指标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奖补重点燃气企业个数</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通过审核把关，对重点燃气企业进行奖补的个数3个</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3个</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计划指标</w:t>
            </w:r>
          </w:p>
        </w:tc>
      </w:tr>
      <w:tr>
        <w:trPr>
          <w:cantSplit/>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质量指标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足额到位率</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实际发放的补助金金额占审计结果发放金额的比率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rPr>
              <w:t>100%</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计划指标</w:t>
            </w:r>
          </w:p>
        </w:tc>
      </w:tr>
      <w:tr>
        <w:trPr>
          <w:cantSplit/>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时效指标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补贴发放时间</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补贴发放时间</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≤9月</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计划指标</w:t>
            </w:r>
          </w:p>
        </w:tc>
      </w:tr>
      <w:tr>
        <w:trPr>
          <w:cantSplit/>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成本指标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预算控制数</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项目总预算成本</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≤2000万元</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计划指标</w:t>
            </w:r>
          </w:p>
        </w:tc>
      </w:tr>
      <w:tr>
        <w:trPr>
          <w:cantSplit/>
          <w:trHeight w:val="369"/>
        </w:trPr>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hint="eastAsia"/>
              </w:rPr>
            </w:pPr>
            <w:r>
              <w:rPr>
                <w:rFonts w:ascii="方正书宋_GBK" w:eastAsia="方正书宋_GBK" w:hint="eastAsia"/>
              </w:rPr>
              <w:t>效益指标</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社会效益指标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重点燃气企业正常运行率</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通过对重点燃气企业执行奖补资金，保障其正常运行，因资金短缺出现的非正常运行几率小于0</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rPr>
              <w:t>100%</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计划指标</w:t>
            </w:r>
          </w:p>
        </w:tc>
      </w:tr>
      <w:tr>
        <w:trPr>
          <w:cantSplit/>
          <w:trHeight w:val="369"/>
        </w:trPr>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hint="eastAsia"/>
              </w:rPr>
            </w:pPr>
            <w:r>
              <w:rPr>
                <w:rFonts w:ascii="方正书宋_GBK" w:eastAsia="方正书宋_GBK" w:hint="eastAsia"/>
              </w:rPr>
              <w:t>满意度指标</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服务对象满意度指标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群众满意度</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rPr>
              <w:t>0</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≥98%</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计划指标</w:t>
            </w:r>
          </w:p>
        </w:tc>
      </w:tr>
    </w:tbl>
    <w:p>
      <w:pPr>
        <w:spacing w:line="300" w:lineRule="exact"/>
        <w:jc w:val="left"/>
        <w:sectPr>
          <w:pgSz w:w="11907" w:h="16839"/>
          <w:pgMar w:top="1984" w:right="1304" w:bottom="1134" w:left="1304" w:header="851" w:footer="992" w:gutter="0"/>
          <w:docGrid w:type="lines" w:linePitch="312" w:charSpace="0"/>
        </w:sectPr>
      </w:pPr>
    </w:p>
    <w:p>
      <w:pPr>
        <w:spacing w:line="300" w:lineRule="exact"/>
        <w:jc w:val="left"/>
      </w:pPr>
    </w:p>
    <w:p>
      <w:pPr>
        <w:ind w:firstLineChars="200" w:firstLine="560"/>
        <w:jc w:val="left"/>
        <w:outlineLvl w:val="3"/>
        <w:rPr>
          <w:rFonts w:ascii="Times New Roman" w:hAnsi="Times New Roman"/>
          <w:b/>
          <w:sz w:val="28"/>
        </w:rPr>
      </w:pPr>
      <w:bookmarkStart w:id="15" w:name="_Toc65759953"/>
      <w:r>
        <w:rPr>
          <w:rFonts w:ascii="方正仿宋_GBK" w:eastAsia="方正仿宋_GBK" w:hint="eastAsia"/>
          <w:b/>
          <w:sz w:val="28"/>
        </w:rPr>
        <w:t>10.散煤存放保管处置资金绩效目标表</w:t>
      </w:r>
      <w:bookmarkEnd w:id="15"/>
      <w:r>
        <w:rPr>
          <w:rFonts w:ascii="方正仿宋_GBK" w:eastAsia="方正仿宋_GBK"/>
          <w:b/>
          <w:vanish/>
          <w:sz w:val="28"/>
        </w:rPr>
        <w:t xml:space="preserve">{ </w:t>
      </w:r>
      <w:r>
        <w:rPr>
          <w:rFonts w:ascii="方正仿宋_GBK" w:eastAsia="方正仿宋_GBK" w:hint="eastAsia"/>
          <w:b/>
          <w:vanish/>
          <w:sz w:val="28"/>
        </w:rPr>
        <w:t>TC 10、散煤存放保管处置资金绩效目标表 \f C \l 1</w:t>
      </w:r>
      <w:r>
        <w:rPr>
          <w:rFonts w:ascii="方正仿宋_GBK" w:eastAsia="方正仿宋_GBK"/>
          <w:b/>
          <w:vanish/>
          <w:sz w:val="28"/>
        </w:rPr>
        <w:t xml:space="preserve"> }</w:t>
      </w:r>
    </w:p>
    <w:tbl>
      <w:tblPr>
        <w:jc w:val="center"/>
        <w:tblW w:w="94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rPr>
          <w:trHeight w:val="397"/>
        </w:trPr>
        <w:tc>
          <w:tcPr>
            <w:tcW w:w="7711" w:type="dxa"/>
            <w:gridSpan w:val="6"/>
            <w:tcBorders>
              <w:top w:val="single" w:sz="6" w:space="0" w:color="FFFFFF"/>
              <w:left w:val="single" w:sz="6" w:space="0" w:color="FFFFFF"/>
              <w:bottom w:val="single" w:sz="6" w:space="0" w:color="000000"/>
              <w:right w:val="single" w:sz="6" w:space="0" w:color="FFFFFF"/>
            </w:tcBorders>
            <w:shd w:val="clear" w:color="auto" w:fill="auto"/>
            <w:vAlign w:val="center"/>
          </w:tcPr>
          <w:p>
            <w:pPr>
              <w:spacing w:line="300" w:lineRule="exact"/>
              <w:jc w:val="left"/>
              <w:rPr>
                <w:rFonts w:ascii="方正书宋_GBK" w:eastAsia="方正书宋_GBK"/>
                <w:b/>
              </w:rPr>
            </w:pPr>
            <w:r>
              <w:rPr>
                <w:rFonts w:ascii="方正书宋_GBK" w:eastAsia="方正书宋_GBK" w:hint="eastAsia"/>
                <w:b/>
              </w:rPr>
              <w:t>810001霸州市发展和改革局本级</w:t>
            </w:r>
          </w:p>
        </w:tc>
        <w:tc>
          <w:tcPr>
            <w:tcW w:w="1701" w:type="dxa"/>
            <w:tcBorders>
              <w:top w:val="single" w:sz="6" w:space="0" w:color="FFFFFF"/>
              <w:left w:val="single" w:sz="6" w:space="0" w:color="FFFFFF"/>
              <w:bottom w:val="single" w:sz="6" w:space="0" w:color="000000"/>
              <w:right w:val="single" w:sz="6" w:space="0" w:color="FFFFFF"/>
            </w:tcBorders>
            <w:shd w:val="clear" w:color="auto" w:fill="auto"/>
            <w:vAlign w:val="center"/>
          </w:tcPr>
          <w:p>
            <w:pPr>
              <w:spacing w:line="300" w:lineRule="exact"/>
              <w:jc w:val="right"/>
              <w:rPr>
                <w:rFonts w:ascii="方正书宋_GBK" w:eastAsia="方正书宋_GBK"/>
              </w:rPr>
            </w:pPr>
            <w:r>
              <w:rPr>
                <w:rFonts w:ascii="方正书宋_GBK" w:eastAsia="方正书宋_GBK" w:hint="eastAsia"/>
              </w:rPr>
              <w:t>单位：万元</w:t>
            </w:r>
          </w:p>
        </w:tc>
      </w:tr>
      <w:tr>
        <w:trPr>
          <w:trHeight w:val="369"/>
        </w:trPr>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rPr>
              <w:t>13108121EBVG7FIG1KYSR</w:t>
            </w:r>
          </w:p>
        </w:tc>
        <w:tc>
          <w:tcPr>
            <w:tcW w:w="1587"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散煤存放保管处置资金</w:t>
            </w:r>
          </w:p>
        </w:tc>
      </w:tr>
      <w:tr>
        <w:trPr>
          <w:trHeight w:val="369"/>
        </w:trPr>
        <w:tc>
          <w:tcPr>
            <w:tcW w:w="113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预算数</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rPr>
              <w:t>5.00</w:t>
            </w:r>
          </w:p>
        </w:tc>
        <w:tc>
          <w:tcPr>
            <w:tcW w:w="1587"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rPr>
              <w:t>5.00</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其他资金</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rPr>
              <w:t>0</w:t>
            </w:r>
          </w:p>
        </w:tc>
      </w:tr>
      <w:tr>
        <w:trPr>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8278"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租赁散煤暂存点，会同市财政局合法处置查扣、没收的散煤。</w:t>
            </w:r>
          </w:p>
        </w:tc>
      </w:tr>
      <w:tr>
        <w:trPr>
          <w:trHeight w:val="369"/>
        </w:trPr>
        <w:tc>
          <w:tcPr>
            <w:tcW w:w="113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资金支出计划（%）</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3月底</w:t>
            </w:r>
          </w:p>
        </w:tc>
        <w:tc>
          <w:tcPr>
            <w:tcW w:w="1587"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6月底</w:t>
            </w:r>
          </w:p>
        </w:tc>
        <w:tc>
          <w:tcPr>
            <w:tcW w:w="130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10月底</w:t>
            </w:r>
          </w:p>
        </w:tc>
        <w:tc>
          <w:tcPr>
            <w:tcW w:w="297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12月底</w:t>
            </w:r>
          </w:p>
        </w:tc>
      </w:tr>
      <w:tr>
        <w:trPr>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p>
        </w:tc>
        <w:tc>
          <w:tcPr>
            <w:tcW w:w="1587"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r>
              <w:rPr>
                <w:rFonts w:ascii="方正书宋_GBK" w:eastAsia="方正书宋_GBK"/>
              </w:rPr>
              <w:t>30.00%</w:t>
            </w:r>
          </w:p>
        </w:tc>
        <w:tc>
          <w:tcPr>
            <w:tcW w:w="130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rPr>
          <w:trHeight w:val="369"/>
        </w:trPr>
        <w:tc>
          <w:tcPr>
            <w:tcW w:w="1134" w:type="dxa"/>
            <w:tcBorders>
              <w:top w:val="single" w:sz="6" w:space="0" w:color="000000"/>
              <w:left w:val="single" w:sz="6" w:space="0" w:color="000000"/>
              <w:bottom w:val="nil"/>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top w:val="single" w:sz="6" w:space="0" w:color="000000"/>
              <w:left w:val="single" w:sz="6" w:space="0" w:color="000000"/>
              <w:bottom w:val="nil"/>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1.使用此笔资金支付2个散煤存放点租金及用于处置清理散煤费用，切实做好散煤处置工作。</w:t>
            </w:r>
          </w:p>
        </w:tc>
      </w:tr>
    </w:tbl>
    <w:p>
      <w:pPr>
        <w:spacing w:line="14" w:lineRule="exact"/>
        <w:jc w:val="center"/>
        <w:rPr>
          <w:rFonts w:ascii="Times New Roman" w:hAnsi="Times New Roman"/>
        </w:rPr>
      </w:pPr>
      <w:r>
        <w:rPr>
          <w:rFonts w:ascii="方正书宋_GBK" w:eastAsia="方正书宋_GBK"/>
        </w:rPr>
        <w:t xml:space="preserve"> </w:t>
      </w:r>
    </w:p>
    <w:tbl>
      <w:tblPr>
        <w:jc w:val="center"/>
        <w:tblW w:w="94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134"/>
        <w:gridCol w:w="1134"/>
        <w:gridCol w:w="1276"/>
        <w:gridCol w:w="2891"/>
        <w:gridCol w:w="1276"/>
        <w:gridCol w:w="1701"/>
      </w:tblGrid>
      <w:tr>
        <w:trPr>
          <w:cantSplit/>
          <w:trHeight w:val="397"/>
          <w:tblHeader/>
        </w:trPr>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一级指标</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二级指标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三级指标</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指标值</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指标值确定依据</w:t>
            </w:r>
          </w:p>
        </w:tc>
      </w:tr>
      <w:tr>
        <w:trPr>
          <w:cantSplit/>
          <w:trHeight w:val="369"/>
        </w:trPr>
        <w:tc>
          <w:tcPr>
            <w:tcW w:w="113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r>
              <w:rPr>
                <w:rFonts w:ascii="方正书宋_GBK" w:eastAsia="方正书宋_GBK" w:hint="eastAsia"/>
              </w:rPr>
              <w:t>产出指标</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数量指标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处置查扣没收的散煤数量</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会同市财政局将查扣没收的散煤依法处置</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按照实际吨数</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计划指标</w:t>
            </w:r>
          </w:p>
        </w:tc>
      </w:tr>
      <w:tr>
        <w:trPr>
          <w:cantSplit/>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数量指标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设置散煤暂存点数量</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将各乡镇（区、办）和执法部门查扣、没收的散煤合理存放</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2个</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计划指标</w:t>
            </w:r>
          </w:p>
        </w:tc>
      </w:tr>
      <w:tr>
        <w:trPr>
          <w:cantSplit/>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质量指标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散煤质量检测率</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市场局对每批次查扣没收的散煤进行质量检测，并出具检测报告</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≥100%</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计划指标</w:t>
            </w:r>
          </w:p>
        </w:tc>
      </w:tr>
      <w:tr>
        <w:trPr>
          <w:cantSplit/>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时效指标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散煤处置完成时间</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对查扣没收的散煤依法处置工作完成时间</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按实际时间</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计划指标</w:t>
            </w:r>
          </w:p>
        </w:tc>
      </w:tr>
      <w:tr>
        <w:trPr>
          <w:cantSplit/>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成本指标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总预算控制数</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散煤存放保管处置经费不超出总预算</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5万元</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计划指标</w:t>
            </w:r>
          </w:p>
        </w:tc>
      </w:tr>
      <w:tr>
        <w:trPr>
          <w:cantSplit/>
          <w:trHeight w:val="369"/>
        </w:trPr>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hint="eastAsia"/>
              </w:rPr>
            </w:pPr>
            <w:r>
              <w:rPr>
                <w:rFonts w:ascii="方正书宋_GBK" w:eastAsia="方正书宋_GBK" w:hint="eastAsia"/>
              </w:rPr>
              <w:t>效益指标</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生态效益指标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保障我市清洁取暖率</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保障我市清洁取暖率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≥85%</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计划指标</w:t>
            </w:r>
          </w:p>
        </w:tc>
      </w:tr>
      <w:tr>
        <w:trPr>
          <w:cantSplit/>
          <w:trHeight w:val="369"/>
        </w:trPr>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hint="eastAsia"/>
              </w:rPr>
            </w:pPr>
            <w:r>
              <w:rPr>
                <w:rFonts w:ascii="方正书宋_GBK" w:eastAsia="方正书宋_GBK" w:hint="eastAsia"/>
              </w:rPr>
              <w:t>满意度指标</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服务对象满意度指标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民众满意度</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民众满意度</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≥95%</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计划指标</w:t>
            </w:r>
          </w:p>
        </w:tc>
      </w:tr>
    </w:tbl>
    <w:p>
      <w:pPr>
        <w:spacing w:line="300" w:lineRule="exact"/>
        <w:jc w:val="left"/>
        <w:sectPr>
          <w:pgSz w:w="11907" w:h="16839"/>
          <w:pgMar w:top="1984" w:right="1304" w:bottom="1134" w:left="1304" w:header="851" w:footer="992" w:gutter="0"/>
          <w:docGrid w:type="lines" w:linePitch="312" w:charSpace="0"/>
        </w:sectPr>
      </w:pPr>
    </w:p>
    <w:p>
      <w:pPr>
        <w:spacing w:line="300" w:lineRule="exact"/>
        <w:jc w:val="left"/>
      </w:pPr>
    </w:p>
    <w:p>
      <w:pPr>
        <w:ind w:firstLineChars="200" w:firstLine="560"/>
        <w:jc w:val="left"/>
        <w:outlineLvl w:val="3"/>
        <w:rPr>
          <w:rFonts w:ascii="Times New Roman" w:hAnsi="Times New Roman"/>
          <w:b/>
          <w:sz w:val="28"/>
        </w:rPr>
      </w:pPr>
      <w:bookmarkStart w:id="16" w:name="_Toc65759954"/>
      <w:r>
        <w:rPr>
          <w:rFonts w:ascii="方正仿宋_GBK" w:eastAsia="方正仿宋_GBK" w:hint="eastAsia"/>
          <w:b/>
          <w:sz w:val="28"/>
        </w:rPr>
        <w:t>11.重点建设项目资金绩效目标表</w:t>
      </w:r>
      <w:bookmarkEnd w:id="16"/>
      <w:r>
        <w:rPr>
          <w:rFonts w:ascii="方正仿宋_GBK" w:eastAsia="方正仿宋_GBK"/>
          <w:b/>
          <w:vanish/>
          <w:sz w:val="28"/>
        </w:rPr>
        <w:t xml:space="preserve">{ </w:t>
      </w:r>
      <w:r>
        <w:rPr>
          <w:rFonts w:ascii="方正仿宋_GBK" w:eastAsia="方正仿宋_GBK" w:hint="eastAsia"/>
          <w:b/>
          <w:vanish/>
          <w:sz w:val="28"/>
        </w:rPr>
        <w:t>TC 11、重点建设项目资金绩效目标表 \f C \l 1</w:t>
      </w:r>
      <w:r>
        <w:rPr>
          <w:rFonts w:ascii="方正仿宋_GBK" w:eastAsia="方正仿宋_GBK"/>
          <w:b/>
          <w:vanish/>
          <w:sz w:val="28"/>
        </w:rPr>
        <w:t xml:space="preserve"> }</w:t>
      </w:r>
    </w:p>
    <w:tbl>
      <w:tblPr>
        <w:jc w:val="center"/>
        <w:tblW w:w="94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rPr>
          <w:trHeight w:val="397"/>
        </w:trPr>
        <w:tc>
          <w:tcPr>
            <w:tcW w:w="7711" w:type="dxa"/>
            <w:gridSpan w:val="6"/>
            <w:tcBorders>
              <w:top w:val="single" w:sz="6" w:space="0" w:color="FFFFFF"/>
              <w:left w:val="single" w:sz="6" w:space="0" w:color="FFFFFF"/>
              <w:bottom w:val="single" w:sz="6" w:space="0" w:color="000000"/>
              <w:right w:val="single" w:sz="6" w:space="0" w:color="FFFFFF"/>
            </w:tcBorders>
            <w:shd w:val="clear" w:color="auto" w:fill="auto"/>
            <w:vAlign w:val="center"/>
          </w:tcPr>
          <w:p>
            <w:pPr>
              <w:spacing w:line="300" w:lineRule="exact"/>
              <w:jc w:val="left"/>
              <w:rPr>
                <w:rFonts w:ascii="方正书宋_GBK" w:eastAsia="方正书宋_GBK"/>
                <w:b/>
              </w:rPr>
            </w:pPr>
            <w:r>
              <w:rPr>
                <w:rFonts w:ascii="方正书宋_GBK" w:eastAsia="方正书宋_GBK" w:hint="eastAsia"/>
                <w:b/>
              </w:rPr>
              <w:t>810001霸州市发展和改革局本级</w:t>
            </w:r>
          </w:p>
        </w:tc>
        <w:tc>
          <w:tcPr>
            <w:tcW w:w="1701" w:type="dxa"/>
            <w:tcBorders>
              <w:top w:val="single" w:sz="6" w:space="0" w:color="FFFFFF"/>
              <w:left w:val="single" w:sz="6" w:space="0" w:color="FFFFFF"/>
              <w:bottom w:val="single" w:sz="6" w:space="0" w:color="000000"/>
              <w:right w:val="single" w:sz="6" w:space="0" w:color="FFFFFF"/>
            </w:tcBorders>
            <w:shd w:val="clear" w:color="auto" w:fill="auto"/>
            <w:vAlign w:val="center"/>
          </w:tcPr>
          <w:p>
            <w:pPr>
              <w:spacing w:line="300" w:lineRule="exact"/>
              <w:jc w:val="right"/>
              <w:rPr>
                <w:rFonts w:ascii="方正书宋_GBK" w:eastAsia="方正书宋_GBK"/>
              </w:rPr>
            </w:pPr>
            <w:r>
              <w:rPr>
                <w:rFonts w:ascii="方正书宋_GBK" w:eastAsia="方正书宋_GBK" w:hint="eastAsia"/>
              </w:rPr>
              <w:t>单位：万元</w:t>
            </w:r>
          </w:p>
        </w:tc>
      </w:tr>
      <w:tr>
        <w:trPr>
          <w:trHeight w:val="369"/>
        </w:trPr>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rPr>
              <w:t>13108121EMLK2G9EW98X3</w:t>
            </w:r>
          </w:p>
        </w:tc>
        <w:tc>
          <w:tcPr>
            <w:tcW w:w="1587"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重点建设项目资金</w:t>
            </w:r>
          </w:p>
        </w:tc>
      </w:tr>
      <w:tr>
        <w:trPr>
          <w:trHeight w:val="369"/>
        </w:trPr>
        <w:tc>
          <w:tcPr>
            <w:tcW w:w="113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预算数</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rPr>
              <w:t>40.00</w:t>
            </w:r>
          </w:p>
        </w:tc>
        <w:tc>
          <w:tcPr>
            <w:tcW w:w="1587"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rPr>
              <w:t>40.00</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其他资金</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rPr>
              <w:t>0</w:t>
            </w:r>
          </w:p>
        </w:tc>
      </w:tr>
      <w:tr>
        <w:trPr>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8278"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按照上级安排部署，做好省市重点项目的咨询、评估论证工作。组织全市重点项目集中开工，安排重点项目参加省会、市会。组织市直相关部门进行项目观摩拉练活动，每月组织召开重点项目调度会。加快重点项目建设步伐，确保重大项目尽早落地、尽快开工、尽早投产达效。</w:t>
            </w:r>
          </w:p>
        </w:tc>
      </w:tr>
      <w:tr>
        <w:trPr>
          <w:trHeight w:val="369"/>
        </w:trPr>
        <w:tc>
          <w:tcPr>
            <w:tcW w:w="113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资金支出计划（%）</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3月底</w:t>
            </w:r>
          </w:p>
        </w:tc>
        <w:tc>
          <w:tcPr>
            <w:tcW w:w="1587"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6月底</w:t>
            </w:r>
          </w:p>
        </w:tc>
        <w:tc>
          <w:tcPr>
            <w:tcW w:w="130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10月底</w:t>
            </w:r>
          </w:p>
        </w:tc>
        <w:tc>
          <w:tcPr>
            <w:tcW w:w="297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12月底</w:t>
            </w:r>
          </w:p>
        </w:tc>
      </w:tr>
      <w:tr>
        <w:trPr>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r>
              <w:rPr>
                <w:rFonts w:ascii="方正书宋_GBK" w:eastAsia="方正书宋_GBK"/>
              </w:rPr>
              <w:t>30.00%</w:t>
            </w:r>
          </w:p>
        </w:tc>
        <w:tc>
          <w:tcPr>
            <w:tcW w:w="1587"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r>
              <w:rPr>
                <w:rFonts w:ascii="方正书宋_GBK" w:eastAsia="方正书宋_GBK"/>
              </w:rPr>
              <w:t>80.00%</w:t>
            </w:r>
          </w:p>
        </w:tc>
        <w:tc>
          <w:tcPr>
            <w:tcW w:w="130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r>
              <w:rPr>
                <w:rFonts w:ascii="方正书宋_GBK" w:eastAsia="方正书宋_GBK"/>
              </w:rPr>
              <w:t>90.00%</w:t>
            </w:r>
          </w:p>
        </w:tc>
        <w:tc>
          <w:tcPr>
            <w:tcW w:w="297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rPr>
          <w:trHeight w:val="369"/>
        </w:trPr>
        <w:tc>
          <w:tcPr>
            <w:tcW w:w="1134" w:type="dxa"/>
            <w:tcBorders>
              <w:top w:val="single" w:sz="6" w:space="0" w:color="000000"/>
              <w:left w:val="single" w:sz="6" w:space="0" w:color="000000"/>
              <w:bottom w:val="nil"/>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top w:val="single" w:sz="6" w:space="0" w:color="000000"/>
              <w:left w:val="single" w:sz="6" w:space="0" w:color="000000"/>
              <w:bottom w:val="nil"/>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1.按照上级安排部署，积极组织实施项目协调调度、集中开工、观摩拉练、评估论证等活动，按照工作进度及时拨付资金，确保重大项目尽早落地、尽快开工、尽早投产达效。力争全年谋划运作亿元以上项目100个以上，在建项目力争达到50个，谋划储备项目不少于50个，新开工亿元以上项目不少于20个。促进更多亿元以上项目投资。</w:t>
            </w:r>
          </w:p>
        </w:tc>
      </w:tr>
    </w:tbl>
    <w:p>
      <w:pPr>
        <w:spacing w:line="14" w:lineRule="exact"/>
        <w:jc w:val="center"/>
        <w:rPr>
          <w:rFonts w:ascii="Times New Roman" w:hAnsi="Times New Roman"/>
        </w:rPr>
      </w:pPr>
      <w:r>
        <w:rPr>
          <w:rFonts w:ascii="方正书宋_GBK" w:eastAsia="方正书宋_GBK"/>
        </w:rPr>
        <w:t xml:space="preserve"> </w:t>
      </w:r>
    </w:p>
    <w:tbl>
      <w:tblPr>
        <w:jc w:val="center"/>
        <w:tblW w:w="94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134"/>
        <w:gridCol w:w="1134"/>
        <w:gridCol w:w="1276"/>
        <w:gridCol w:w="2891"/>
        <w:gridCol w:w="1276"/>
        <w:gridCol w:w="1701"/>
      </w:tblGrid>
      <w:tr>
        <w:trPr>
          <w:cantSplit/>
          <w:trHeight w:val="397"/>
          <w:tblHeader/>
        </w:trPr>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一级指标</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二级指标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三级指标</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指标值</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指标值确定依据</w:t>
            </w:r>
          </w:p>
        </w:tc>
      </w:tr>
      <w:tr>
        <w:trPr>
          <w:cantSplit/>
          <w:trHeight w:val="369"/>
        </w:trPr>
        <w:tc>
          <w:tcPr>
            <w:tcW w:w="113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r>
              <w:rPr>
                <w:rFonts w:ascii="方正书宋_GBK" w:eastAsia="方正书宋_GBK" w:hint="eastAsia"/>
              </w:rPr>
              <w:t>产出指标</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数量指标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集中开工次数</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集中开工次数每年不低于4次</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≥4次</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计划指标</w:t>
            </w:r>
          </w:p>
        </w:tc>
      </w:tr>
      <w:tr>
        <w:trPr>
          <w:cantSplit/>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数量指标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项目观摩拉练次数</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项目观摩拉练次数每年2-3次</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≥2次</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计划指标</w:t>
            </w:r>
          </w:p>
        </w:tc>
      </w:tr>
      <w:tr>
        <w:trPr>
          <w:cantSplit/>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数量指标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项目调度会次数</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项目调度会每月1次</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≥12次</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计划指标</w:t>
            </w:r>
          </w:p>
        </w:tc>
      </w:tr>
      <w:tr>
        <w:trPr>
          <w:cantSplit/>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质量指标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各项任务完成率</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各项任务完成率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rPr>
              <w:t>100%</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计划指标</w:t>
            </w:r>
          </w:p>
        </w:tc>
      </w:tr>
      <w:tr>
        <w:trPr>
          <w:cantSplit/>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时效指标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集中开工时间</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集中开工每3个月开1次</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每季度一次</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计划指标</w:t>
            </w:r>
          </w:p>
        </w:tc>
      </w:tr>
      <w:tr>
        <w:trPr>
          <w:cantSplit/>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时效指标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项目调度会举办时间</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项目调度会每月30日前举办</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每30日一次</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计划指标</w:t>
            </w:r>
          </w:p>
        </w:tc>
      </w:tr>
      <w:tr>
        <w:trPr>
          <w:cantSplit/>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成本指标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项目预算控制数</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集中开工项目调度会费用不超预算</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40万元</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计划指标</w:t>
            </w:r>
          </w:p>
        </w:tc>
      </w:tr>
      <w:tr>
        <w:trPr>
          <w:cantSplit/>
          <w:trHeight w:val="369"/>
        </w:trPr>
        <w:tc>
          <w:tcPr>
            <w:tcW w:w="113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hint="eastAsia"/>
              </w:rPr>
            </w:pPr>
            <w:r>
              <w:rPr>
                <w:rFonts w:ascii="方正书宋_GBK" w:eastAsia="方正书宋_GBK" w:hint="eastAsia"/>
              </w:rPr>
              <w:t>效益指标</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经济效益指标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亿元以上在建项目</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亿元以上在建项目（包括新增和续建）</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≥50个</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计划指标</w:t>
            </w:r>
          </w:p>
        </w:tc>
      </w:tr>
      <w:tr>
        <w:trPr>
          <w:cantSplit/>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经济效益指标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新开工亿元以上项目20个</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当年新开工项目个数</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≥20个</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计划指标</w:t>
            </w:r>
          </w:p>
        </w:tc>
      </w:tr>
      <w:tr>
        <w:trPr>
          <w:cantSplit/>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经济效益指标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谋划储备亿元以上项目50个</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当年谋划储备项目个数</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≥50个</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计划指标</w:t>
            </w:r>
          </w:p>
        </w:tc>
      </w:tr>
      <w:tr>
        <w:trPr>
          <w:cantSplit/>
          <w:trHeight w:val="369"/>
        </w:trPr>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hint="eastAsia"/>
              </w:rPr>
            </w:pPr>
            <w:r>
              <w:rPr>
                <w:rFonts w:ascii="方正书宋_GBK" w:eastAsia="方正书宋_GBK" w:hint="eastAsia"/>
              </w:rPr>
              <w:t>满意度指标</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服务对象满意度指标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满意度测评</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对项目单位帮扶支持工作进行满意度测评</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≥98%</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计划指标</w:t>
            </w:r>
          </w:p>
        </w:tc>
      </w:tr>
    </w:tbl>
    <w:p>
      <w:pPr>
        <w:spacing w:line="300" w:lineRule="exact"/>
        <w:jc w:val="left"/>
        <w:sectPr>
          <w:pgSz w:w="11907" w:h="16839"/>
          <w:pgMar w:top="1984" w:right="1304" w:bottom="1134" w:left="1304" w:header="851" w:footer="992" w:gutter="0"/>
          <w:docGrid w:type="lines" w:linePitch="312" w:charSpace="0"/>
        </w:sectPr>
      </w:pPr>
    </w:p>
    <w:p>
      <w:pPr>
        <w:spacing w:line="300" w:lineRule="exact"/>
        <w:jc w:val="left"/>
      </w:pPr>
    </w:p>
    <w:p>
      <w:pPr>
        <w:ind w:firstLineChars="200" w:firstLine="560"/>
        <w:jc w:val="left"/>
        <w:outlineLvl w:val="3"/>
        <w:rPr>
          <w:rFonts w:ascii="Times New Roman" w:hAnsi="Times New Roman"/>
          <w:b/>
          <w:sz w:val="28"/>
        </w:rPr>
      </w:pPr>
      <w:bookmarkStart w:id="17" w:name="_Toc65759955"/>
      <w:r>
        <w:rPr>
          <w:rFonts w:ascii="方正仿宋_GBK" w:eastAsia="方正仿宋_GBK" w:hint="eastAsia"/>
          <w:b/>
          <w:sz w:val="28"/>
        </w:rPr>
        <w:t>12.粮食应急网点维护经费绩效目标表</w:t>
      </w:r>
      <w:bookmarkEnd w:id="17"/>
      <w:r>
        <w:rPr>
          <w:rFonts w:ascii="方正仿宋_GBK" w:eastAsia="方正仿宋_GBK"/>
          <w:b/>
          <w:vanish/>
          <w:sz w:val="28"/>
        </w:rPr>
        <w:t xml:space="preserve">{ </w:t>
      </w:r>
      <w:r>
        <w:rPr>
          <w:rFonts w:ascii="方正仿宋_GBK" w:eastAsia="方正仿宋_GBK" w:hint="eastAsia"/>
          <w:b/>
          <w:vanish/>
          <w:sz w:val="28"/>
        </w:rPr>
        <w:t>TC 12、粮食应急网点维护经费绩效目标表 \f C \l 1</w:t>
      </w:r>
      <w:r>
        <w:rPr>
          <w:rFonts w:ascii="方正仿宋_GBK" w:eastAsia="方正仿宋_GBK"/>
          <w:b/>
          <w:vanish/>
          <w:sz w:val="28"/>
        </w:rPr>
        <w:t xml:space="preserve"> }</w:t>
      </w:r>
    </w:p>
    <w:tbl>
      <w:tblPr>
        <w:jc w:val="center"/>
        <w:tblW w:w="94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rPr>
          <w:trHeight w:val="397"/>
        </w:trPr>
        <w:tc>
          <w:tcPr>
            <w:tcW w:w="7711" w:type="dxa"/>
            <w:gridSpan w:val="6"/>
            <w:tcBorders>
              <w:top w:val="single" w:sz="6" w:space="0" w:color="FFFFFF"/>
              <w:left w:val="single" w:sz="6" w:space="0" w:color="FFFFFF"/>
              <w:bottom w:val="single" w:sz="6" w:space="0" w:color="000000"/>
              <w:right w:val="single" w:sz="6" w:space="0" w:color="FFFFFF"/>
            </w:tcBorders>
            <w:shd w:val="clear" w:color="auto" w:fill="auto"/>
            <w:vAlign w:val="center"/>
          </w:tcPr>
          <w:p>
            <w:pPr>
              <w:spacing w:line="300" w:lineRule="exact"/>
              <w:jc w:val="left"/>
              <w:rPr>
                <w:rFonts w:ascii="方正书宋_GBK" w:eastAsia="方正书宋_GBK"/>
                <w:b/>
              </w:rPr>
            </w:pPr>
            <w:r>
              <w:rPr>
                <w:rFonts w:ascii="方正书宋_GBK" w:eastAsia="方正书宋_GBK" w:hint="eastAsia"/>
                <w:b/>
              </w:rPr>
              <w:t>810001霸州市发展和改革局本级</w:t>
            </w:r>
          </w:p>
        </w:tc>
        <w:tc>
          <w:tcPr>
            <w:tcW w:w="1701" w:type="dxa"/>
            <w:tcBorders>
              <w:top w:val="single" w:sz="6" w:space="0" w:color="FFFFFF"/>
              <w:left w:val="single" w:sz="6" w:space="0" w:color="FFFFFF"/>
              <w:bottom w:val="single" w:sz="6" w:space="0" w:color="000000"/>
              <w:right w:val="single" w:sz="6" w:space="0" w:color="FFFFFF"/>
            </w:tcBorders>
            <w:shd w:val="clear" w:color="auto" w:fill="auto"/>
            <w:vAlign w:val="center"/>
          </w:tcPr>
          <w:p>
            <w:pPr>
              <w:spacing w:line="300" w:lineRule="exact"/>
              <w:jc w:val="right"/>
              <w:rPr>
                <w:rFonts w:ascii="方正书宋_GBK" w:eastAsia="方正书宋_GBK"/>
              </w:rPr>
            </w:pPr>
            <w:r>
              <w:rPr>
                <w:rFonts w:ascii="方正书宋_GBK" w:eastAsia="方正书宋_GBK" w:hint="eastAsia"/>
              </w:rPr>
              <w:t>单位：万元</w:t>
            </w:r>
          </w:p>
        </w:tc>
      </w:tr>
      <w:tr>
        <w:trPr>
          <w:trHeight w:val="369"/>
        </w:trPr>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rPr>
              <w:t>13108121EWQ7Z0NG30VU6</w:t>
            </w:r>
          </w:p>
        </w:tc>
        <w:tc>
          <w:tcPr>
            <w:tcW w:w="1587"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粮食应急网点维护经费</w:t>
            </w:r>
          </w:p>
        </w:tc>
      </w:tr>
      <w:tr>
        <w:trPr>
          <w:trHeight w:val="369"/>
        </w:trPr>
        <w:tc>
          <w:tcPr>
            <w:tcW w:w="113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预算数</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rPr>
              <w:t>10.00</w:t>
            </w:r>
          </w:p>
        </w:tc>
        <w:tc>
          <w:tcPr>
            <w:tcW w:w="1587"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rPr>
              <w:t>10.00</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其他资金</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rPr>
              <w:t>0</w:t>
            </w:r>
          </w:p>
        </w:tc>
      </w:tr>
      <w:tr>
        <w:trPr>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8278"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开展粮食应急演练、粮食应急网络维护等，用于保障我市2021年粮食应急各项工作等。</w:t>
            </w:r>
          </w:p>
        </w:tc>
      </w:tr>
      <w:tr>
        <w:trPr>
          <w:trHeight w:val="369"/>
        </w:trPr>
        <w:tc>
          <w:tcPr>
            <w:tcW w:w="113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资金支出计划（%）</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3月底</w:t>
            </w:r>
          </w:p>
        </w:tc>
        <w:tc>
          <w:tcPr>
            <w:tcW w:w="1587"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6月底</w:t>
            </w:r>
          </w:p>
        </w:tc>
        <w:tc>
          <w:tcPr>
            <w:tcW w:w="130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10月底</w:t>
            </w:r>
          </w:p>
        </w:tc>
        <w:tc>
          <w:tcPr>
            <w:tcW w:w="297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12月底</w:t>
            </w:r>
          </w:p>
        </w:tc>
      </w:tr>
      <w:tr>
        <w:trPr>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r>
              <w:rPr>
                <w:rFonts w:ascii="方正书宋_GBK" w:eastAsia="方正书宋_GBK"/>
              </w:rPr>
              <w:t>30.00%</w:t>
            </w:r>
          </w:p>
        </w:tc>
        <w:tc>
          <w:tcPr>
            <w:tcW w:w="1587"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r>
              <w:rPr>
                <w:rFonts w:ascii="方正书宋_GBK" w:eastAsia="方正书宋_GBK"/>
              </w:rPr>
              <w:t>60.00%</w:t>
            </w:r>
          </w:p>
        </w:tc>
        <w:tc>
          <w:tcPr>
            <w:tcW w:w="130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r>
              <w:rPr>
                <w:rFonts w:ascii="方正书宋_GBK" w:eastAsia="方正书宋_GBK"/>
              </w:rPr>
              <w:t>90.00%</w:t>
            </w:r>
          </w:p>
        </w:tc>
        <w:tc>
          <w:tcPr>
            <w:tcW w:w="297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rPr>
          <w:trHeight w:val="369"/>
        </w:trPr>
        <w:tc>
          <w:tcPr>
            <w:tcW w:w="1134" w:type="dxa"/>
            <w:tcBorders>
              <w:top w:val="single" w:sz="6" w:space="0" w:color="000000"/>
              <w:left w:val="single" w:sz="6" w:space="0" w:color="000000"/>
              <w:bottom w:val="nil"/>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top w:val="single" w:sz="6" w:space="0" w:color="000000"/>
              <w:left w:val="single" w:sz="6" w:space="0" w:color="000000"/>
              <w:bottom w:val="nil"/>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1.2021年项目资金用于开展粮食应急演练、粮食应急网络维护等工作，保障粮食应急各项工作计划顺利完成。</w:t>
            </w:r>
          </w:p>
        </w:tc>
      </w:tr>
    </w:tbl>
    <w:p>
      <w:pPr>
        <w:spacing w:line="14" w:lineRule="exact"/>
        <w:jc w:val="center"/>
        <w:rPr>
          <w:rFonts w:ascii="Times New Roman" w:hAnsi="Times New Roman"/>
        </w:rPr>
      </w:pPr>
      <w:r>
        <w:rPr>
          <w:rFonts w:ascii="方正书宋_GBK" w:eastAsia="方正书宋_GBK"/>
        </w:rPr>
        <w:t xml:space="preserve"> </w:t>
      </w:r>
    </w:p>
    <w:tbl>
      <w:tblPr>
        <w:jc w:val="center"/>
        <w:tblW w:w="94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134"/>
        <w:gridCol w:w="1134"/>
        <w:gridCol w:w="1276"/>
        <w:gridCol w:w="2891"/>
        <w:gridCol w:w="1276"/>
        <w:gridCol w:w="1701"/>
      </w:tblGrid>
      <w:tr>
        <w:trPr>
          <w:cantSplit/>
          <w:trHeight w:val="397"/>
          <w:tblHeader/>
        </w:trPr>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一级指标</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二级指标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三级指标</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指标值</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指标值确定依据</w:t>
            </w:r>
          </w:p>
        </w:tc>
      </w:tr>
      <w:tr>
        <w:trPr>
          <w:cantSplit/>
          <w:trHeight w:val="369"/>
        </w:trPr>
        <w:tc>
          <w:tcPr>
            <w:tcW w:w="113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r>
              <w:rPr>
                <w:rFonts w:ascii="方正书宋_GBK" w:eastAsia="方正书宋_GBK" w:hint="eastAsia"/>
              </w:rPr>
              <w:t>产出指标</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数量指标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粮食应急供应网络维护数量</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加强我市粮食应急网点维护</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≥17家</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计划指标</w:t>
            </w:r>
          </w:p>
        </w:tc>
      </w:tr>
      <w:tr>
        <w:trPr>
          <w:cantSplit/>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数量指标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开展粮食应急演练次数</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开展我市粮食应急演练</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≥1次</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计划指标</w:t>
            </w:r>
          </w:p>
        </w:tc>
      </w:tr>
      <w:tr>
        <w:trPr>
          <w:cantSplit/>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质量指标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网络维护完成合格率</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17家粮食应急网络维护完成合格率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rPr>
              <w:t>100%</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计划指标</w:t>
            </w:r>
          </w:p>
        </w:tc>
      </w:tr>
      <w:tr>
        <w:trPr>
          <w:cantSplit/>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质量指标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粮食应急演练规模全市覆盖率</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粮食应急演练规模覆盖全市比率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计划指标</w:t>
            </w:r>
          </w:p>
        </w:tc>
      </w:tr>
      <w:tr>
        <w:trPr>
          <w:cantSplit/>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时效指标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粮食应急演练完成时间</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粮食应急演练工作完成时限</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≤10月</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计划指标</w:t>
            </w:r>
          </w:p>
        </w:tc>
      </w:tr>
      <w:tr>
        <w:trPr>
          <w:cantSplit/>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时效指标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粮食应急网络维护完成时限</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粮食应急网络维护工作完成时限</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≤6月</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计划指标</w:t>
            </w:r>
          </w:p>
        </w:tc>
      </w:tr>
      <w:tr>
        <w:trPr>
          <w:cantSplit/>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成本指标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应急保障经费预算控制数</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应急保障经费预算控制金额</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≤10万元</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计划指标</w:t>
            </w:r>
          </w:p>
        </w:tc>
      </w:tr>
      <w:tr>
        <w:trPr>
          <w:cantSplit/>
          <w:trHeight w:val="369"/>
        </w:trPr>
        <w:tc>
          <w:tcPr>
            <w:tcW w:w="113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hint="eastAsia"/>
              </w:rPr>
            </w:pPr>
            <w:r>
              <w:rPr>
                <w:rFonts w:ascii="方正书宋_GBK" w:eastAsia="方正书宋_GBK" w:hint="eastAsia"/>
              </w:rPr>
              <w:t>效益指标</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经济效益指标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突发事件财产损失率</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开展应急演练工作，有效降低突发事件发生后财产损失率。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下降</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计划指标</w:t>
            </w:r>
          </w:p>
        </w:tc>
      </w:tr>
      <w:tr>
        <w:trPr>
          <w:cantSplit/>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社会效益指标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粮食应急保障能力</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完善应急体系，提高我市粮食应急保障能力。</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不断提高</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计划指标</w:t>
            </w:r>
          </w:p>
        </w:tc>
      </w:tr>
      <w:tr>
        <w:trPr>
          <w:cantSplit/>
          <w:trHeight w:val="369"/>
        </w:trPr>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hint="eastAsia"/>
              </w:rPr>
            </w:pPr>
            <w:r>
              <w:rPr>
                <w:rFonts w:ascii="方正书宋_GBK" w:eastAsia="方正书宋_GBK" w:hint="eastAsia"/>
              </w:rPr>
              <w:t>满意度指标</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服务对象满意度指标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粮食应急网点及群众满意度</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全市粮食应急保障网点及群众满意度</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≥90%</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调查问卷</w:t>
            </w:r>
          </w:p>
        </w:tc>
      </w:tr>
    </w:tbl>
    <w:p>
      <w:pPr>
        <w:spacing w:line="300" w:lineRule="exact"/>
        <w:jc w:val="left"/>
        <w:sectPr>
          <w:pgSz w:w="11907" w:h="16839"/>
          <w:pgMar w:top="1984" w:right="1304" w:bottom="1134" w:left="1304" w:header="851" w:footer="992" w:gutter="0"/>
          <w:docGrid w:type="lines" w:linePitch="312" w:charSpace="0"/>
        </w:sectPr>
      </w:pPr>
    </w:p>
    <w:p>
      <w:pPr>
        <w:spacing w:line="300" w:lineRule="exact"/>
        <w:jc w:val="left"/>
      </w:pPr>
    </w:p>
    <w:p>
      <w:pPr>
        <w:ind w:firstLineChars="200" w:firstLine="560"/>
        <w:jc w:val="left"/>
        <w:outlineLvl w:val="3"/>
        <w:rPr>
          <w:rFonts w:ascii="Times New Roman" w:hAnsi="Times New Roman"/>
          <w:b/>
          <w:sz w:val="28"/>
        </w:rPr>
      </w:pPr>
      <w:bookmarkStart w:id="18" w:name="_Toc65759956"/>
      <w:r>
        <w:rPr>
          <w:rFonts w:ascii="方正仿宋_GBK" w:eastAsia="方正仿宋_GBK" w:hint="eastAsia"/>
          <w:b/>
          <w:sz w:val="28"/>
        </w:rPr>
        <w:t>13.粮食监督检查行政执法费用绩效目标表</w:t>
      </w:r>
      <w:bookmarkEnd w:id="18"/>
      <w:r>
        <w:rPr>
          <w:rFonts w:ascii="方正仿宋_GBK" w:eastAsia="方正仿宋_GBK"/>
          <w:b/>
          <w:vanish/>
          <w:sz w:val="28"/>
        </w:rPr>
        <w:t xml:space="preserve">{ </w:t>
      </w:r>
      <w:r>
        <w:rPr>
          <w:rFonts w:ascii="方正仿宋_GBK" w:eastAsia="方正仿宋_GBK" w:hint="eastAsia"/>
          <w:b/>
          <w:vanish/>
          <w:sz w:val="28"/>
        </w:rPr>
        <w:t>TC 13、粮食监督检查行政执法费用绩效目标表 \f C \l 1</w:t>
      </w:r>
      <w:r>
        <w:rPr>
          <w:rFonts w:ascii="方正仿宋_GBK" w:eastAsia="方正仿宋_GBK"/>
          <w:b/>
          <w:vanish/>
          <w:sz w:val="28"/>
        </w:rPr>
        <w:t xml:space="preserve"> }</w:t>
      </w:r>
    </w:p>
    <w:tbl>
      <w:tblPr>
        <w:jc w:val="center"/>
        <w:tblW w:w="94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rPr>
          <w:trHeight w:val="397"/>
        </w:trPr>
        <w:tc>
          <w:tcPr>
            <w:tcW w:w="7711" w:type="dxa"/>
            <w:gridSpan w:val="6"/>
            <w:tcBorders>
              <w:top w:val="single" w:sz="6" w:space="0" w:color="FFFFFF"/>
              <w:left w:val="single" w:sz="6" w:space="0" w:color="FFFFFF"/>
              <w:bottom w:val="single" w:sz="6" w:space="0" w:color="000000"/>
              <w:right w:val="single" w:sz="6" w:space="0" w:color="FFFFFF"/>
            </w:tcBorders>
            <w:shd w:val="clear" w:color="auto" w:fill="auto"/>
            <w:vAlign w:val="center"/>
          </w:tcPr>
          <w:p>
            <w:pPr>
              <w:spacing w:line="300" w:lineRule="exact"/>
              <w:jc w:val="left"/>
              <w:rPr>
                <w:rFonts w:ascii="方正书宋_GBK" w:eastAsia="方正书宋_GBK"/>
                <w:b/>
              </w:rPr>
            </w:pPr>
            <w:r>
              <w:rPr>
                <w:rFonts w:ascii="方正书宋_GBK" w:eastAsia="方正书宋_GBK" w:hint="eastAsia"/>
                <w:b/>
              </w:rPr>
              <w:t>810001霸州市发展和改革局本级</w:t>
            </w:r>
          </w:p>
        </w:tc>
        <w:tc>
          <w:tcPr>
            <w:tcW w:w="1701" w:type="dxa"/>
            <w:tcBorders>
              <w:top w:val="single" w:sz="6" w:space="0" w:color="FFFFFF"/>
              <w:left w:val="single" w:sz="6" w:space="0" w:color="FFFFFF"/>
              <w:bottom w:val="single" w:sz="6" w:space="0" w:color="000000"/>
              <w:right w:val="single" w:sz="6" w:space="0" w:color="FFFFFF"/>
            </w:tcBorders>
            <w:shd w:val="clear" w:color="auto" w:fill="auto"/>
            <w:vAlign w:val="center"/>
          </w:tcPr>
          <w:p>
            <w:pPr>
              <w:spacing w:line="300" w:lineRule="exact"/>
              <w:jc w:val="right"/>
              <w:rPr>
                <w:rFonts w:ascii="方正书宋_GBK" w:eastAsia="方正书宋_GBK"/>
              </w:rPr>
            </w:pPr>
            <w:r>
              <w:rPr>
                <w:rFonts w:ascii="方正书宋_GBK" w:eastAsia="方正书宋_GBK" w:hint="eastAsia"/>
              </w:rPr>
              <w:t>单位：万元</w:t>
            </w:r>
          </w:p>
        </w:tc>
      </w:tr>
      <w:tr>
        <w:trPr>
          <w:trHeight w:val="369"/>
        </w:trPr>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rPr>
              <w:t>13108121QFQC3SODU9GHB</w:t>
            </w:r>
          </w:p>
        </w:tc>
        <w:tc>
          <w:tcPr>
            <w:tcW w:w="1587"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粮食监督检查行政执法费用</w:t>
            </w:r>
          </w:p>
        </w:tc>
      </w:tr>
      <w:tr>
        <w:trPr>
          <w:trHeight w:val="369"/>
        </w:trPr>
        <w:tc>
          <w:tcPr>
            <w:tcW w:w="113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预算数</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rPr>
              <w:t>3.00</w:t>
            </w:r>
          </w:p>
        </w:tc>
        <w:tc>
          <w:tcPr>
            <w:tcW w:w="1587"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rPr>
              <w:t>3.00</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其他资金</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rPr>
              <w:t>0</w:t>
            </w:r>
          </w:p>
        </w:tc>
      </w:tr>
      <w:tr>
        <w:trPr>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8278"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我局按依据《国务院关于完善粮食流通体制改革政策措施的意见》规定每年每月都会对粮食企业进行监督检查，聘请法律顾问，不断规范粮食行政执法程序，健全行政执法相关制度，完善行政执法体系，提高执法水平。2021年将购置专业设备6台，有效增强粮食执法工作效率。10月底资金全部支付。</w:t>
            </w:r>
          </w:p>
        </w:tc>
      </w:tr>
      <w:tr>
        <w:trPr>
          <w:trHeight w:val="369"/>
        </w:trPr>
        <w:tc>
          <w:tcPr>
            <w:tcW w:w="113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资金支出计划（%）</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3月底</w:t>
            </w:r>
          </w:p>
        </w:tc>
        <w:tc>
          <w:tcPr>
            <w:tcW w:w="1587"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6月底</w:t>
            </w:r>
          </w:p>
        </w:tc>
        <w:tc>
          <w:tcPr>
            <w:tcW w:w="130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10月底</w:t>
            </w:r>
          </w:p>
        </w:tc>
        <w:tc>
          <w:tcPr>
            <w:tcW w:w="297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12月底</w:t>
            </w:r>
          </w:p>
        </w:tc>
      </w:tr>
      <w:tr>
        <w:trPr>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r>
              <w:rPr>
                <w:rFonts w:ascii="方正书宋_GBK" w:eastAsia="方正书宋_GBK"/>
              </w:rPr>
              <w:t>30.00%</w:t>
            </w:r>
          </w:p>
        </w:tc>
        <w:tc>
          <w:tcPr>
            <w:tcW w:w="1587"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r>
              <w:rPr>
                <w:rFonts w:ascii="方正书宋_GBK" w:eastAsia="方正书宋_GBK"/>
              </w:rPr>
              <w:t>90.00%</w:t>
            </w:r>
          </w:p>
        </w:tc>
        <w:tc>
          <w:tcPr>
            <w:tcW w:w="130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rPr>
          <w:trHeight w:val="369"/>
        </w:trPr>
        <w:tc>
          <w:tcPr>
            <w:tcW w:w="1134" w:type="dxa"/>
            <w:tcBorders>
              <w:top w:val="single" w:sz="6" w:space="0" w:color="000000"/>
              <w:left w:val="single" w:sz="6" w:space="0" w:color="000000"/>
              <w:bottom w:val="nil"/>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top w:val="single" w:sz="6" w:space="0" w:color="000000"/>
              <w:left w:val="single" w:sz="6" w:space="0" w:color="000000"/>
              <w:bottom w:val="nil"/>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1.按照上级及市局安排，每年对粮食企业进行执法检查不低于40次，保障粮食企业损失减少；保证行政检查执法办案效率，及时结案率达到100%。执法人员持证上岗率100%。使用此经费购置专业设备共6台，其中：执法仪器购置4台（数码相机1台、录音笔1个、执法仪1个、测距仪1个）；购置专业办公设备2台（笔记本电脑1台、打印机1个），提高执法工作的效率。</w:t>
            </w:r>
          </w:p>
        </w:tc>
      </w:tr>
    </w:tbl>
    <w:p>
      <w:pPr>
        <w:spacing w:line="14" w:lineRule="exact"/>
        <w:jc w:val="center"/>
        <w:rPr>
          <w:rFonts w:ascii="Times New Roman" w:hAnsi="Times New Roman"/>
        </w:rPr>
      </w:pPr>
      <w:r>
        <w:rPr>
          <w:rFonts w:ascii="方正书宋_GBK" w:eastAsia="方正书宋_GBK"/>
        </w:rPr>
        <w:t xml:space="preserve"> </w:t>
      </w:r>
    </w:p>
    <w:tbl>
      <w:tblPr>
        <w:jc w:val="center"/>
        <w:tblW w:w="94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134"/>
        <w:gridCol w:w="1134"/>
        <w:gridCol w:w="1276"/>
        <w:gridCol w:w="2891"/>
        <w:gridCol w:w="1276"/>
        <w:gridCol w:w="1701"/>
      </w:tblGrid>
      <w:tr>
        <w:trPr>
          <w:cantSplit/>
          <w:trHeight w:val="397"/>
          <w:tblHeader/>
        </w:trPr>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一级指标</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二级指标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三级指标</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指标值</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指标值确定依据</w:t>
            </w:r>
          </w:p>
        </w:tc>
      </w:tr>
      <w:tr>
        <w:trPr>
          <w:cantSplit/>
          <w:trHeight w:val="369"/>
        </w:trPr>
        <w:tc>
          <w:tcPr>
            <w:tcW w:w="113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r>
              <w:rPr>
                <w:rFonts w:ascii="方正书宋_GBK" w:eastAsia="方正书宋_GBK" w:hint="eastAsia"/>
              </w:rPr>
              <w:t>产出指标</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数量指标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购置设备数量</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新增购置专用仪器设备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≥6台</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计划指标</w:t>
            </w:r>
          </w:p>
        </w:tc>
      </w:tr>
      <w:tr>
        <w:trPr>
          <w:cantSplit/>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数量指标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执法行动全年次数</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执法行动全年次数</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≥40次</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计划指标</w:t>
            </w:r>
          </w:p>
        </w:tc>
      </w:tr>
      <w:tr>
        <w:trPr>
          <w:cantSplit/>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质量指标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设备合格率</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设备合格率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rPr>
              <w:t>100%</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计划指标</w:t>
            </w:r>
          </w:p>
        </w:tc>
      </w:tr>
      <w:tr>
        <w:trPr>
          <w:cantSplit/>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时效指标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设备购置完成时间</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按工作进度及时为执法人员配备齐全设备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≤10月</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计划指标</w:t>
            </w:r>
          </w:p>
        </w:tc>
      </w:tr>
      <w:tr>
        <w:trPr>
          <w:cantSplit/>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成本指标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预算控制数</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按预算金额年</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3万元</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计划指标</w:t>
            </w:r>
          </w:p>
        </w:tc>
      </w:tr>
      <w:tr>
        <w:trPr>
          <w:cantSplit/>
          <w:trHeight w:val="369"/>
        </w:trPr>
        <w:tc>
          <w:tcPr>
            <w:tcW w:w="113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hint="eastAsia"/>
              </w:rPr>
            </w:pPr>
            <w:r>
              <w:rPr>
                <w:rFonts w:ascii="方正书宋_GBK" w:eastAsia="方正书宋_GBK" w:hint="eastAsia"/>
              </w:rPr>
              <w:t>效益指标</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社会效益指标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保障粮食质量达标</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保障粮食质量达标率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≥90%</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计划指标</w:t>
            </w:r>
          </w:p>
        </w:tc>
      </w:tr>
      <w:tr>
        <w:trPr>
          <w:cantSplit/>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可持续影响指标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购置设备持续使用年限</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此次购置设备能持续使用5年以上</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5年</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计划指标</w:t>
            </w:r>
          </w:p>
        </w:tc>
      </w:tr>
      <w:tr>
        <w:trPr>
          <w:cantSplit/>
          <w:trHeight w:val="369"/>
        </w:trPr>
        <w:tc>
          <w:tcPr>
            <w:tcW w:w="113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hint="eastAsia"/>
              </w:rPr>
            </w:pPr>
            <w:r>
              <w:rPr>
                <w:rFonts w:ascii="方正书宋_GBK" w:eastAsia="方正书宋_GBK" w:hint="eastAsia"/>
              </w:rPr>
              <w:t>满意度指标</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服务对象满意度指标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粮食企业对粮食执法办案满意度</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粮食企业对粮食执法办案满意度</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≥95%</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计划指标</w:t>
            </w:r>
          </w:p>
        </w:tc>
      </w:tr>
      <w:tr>
        <w:trPr>
          <w:cantSplit/>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服务对象满意度指标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农户对粮食执法办案满意度</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农户对粮食执法办案满意度</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≥95%</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计划指标</w:t>
            </w:r>
          </w:p>
        </w:tc>
      </w:tr>
    </w:tbl>
    <w:p>
      <w:pPr>
        <w:spacing w:line="300" w:lineRule="exact"/>
        <w:jc w:val="left"/>
        <w:sectPr>
          <w:pgSz w:w="11907" w:h="16839"/>
          <w:pgMar w:top="1984" w:right="1304" w:bottom="1134" w:left="1304" w:header="851" w:footer="992" w:gutter="0"/>
          <w:docGrid w:type="lines" w:linePitch="312" w:charSpace="0"/>
        </w:sectPr>
      </w:pPr>
    </w:p>
    <w:p>
      <w:pPr>
        <w:spacing w:line="300" w:lineRule="exact"/>
        <w:jc w:val="left"/>
      </w:pPr>
    </w:p>
    <w:p>
      <w:pPr>
        <w:ind w:firstLineChars="200" w:firstLine="560"/>
        <w:jc w:val="left"/>
        <w:outlineLvl w:val="3"/>
        <w:rPr>
          <w:rFonts w:ascii="Times New Roman" w:hAnsi="Times New Roman"/>
          <w:b/>
          <w:sz w:val="28"/>
        </w:rPr>
      </w:pPr>
      <w:bookmarkStart w:id="19" w:name="_Toc65759957"/>
      <w:r>
        <w:rPr>
          <w:rFonts w:ascii="方正仿宋_GBK" w:eastAsia="方正仿宋_GBK" w:hint="eastAsia"/>
          <w:b/>
          <w:sz w:val="28"/>
        </w:rPr>
        <w:t>14.项目评估论证费绩效目标表</w:t>
      </w:r>
      <w:bookmarkEnd w:id="19"/>
      <w:r>
        <w:rPr>
          <w:rFonts w:ascii="方正仿宋_GBK" w:eastAsia="方正仿宋_GBK"/>
          <w:b/>
          <w:vanish/>
          <w:sz w:val="28"/>
        </w:rPr>
        <w:t xml:space="preserve">{ </w:t>
      </w:r>
      <w:r>
        <w:rPr>
          <w:rFonts w:ascii="方正仿宋_GBK" w:eastAsia="方正仿宋_GBK" w:hint="eastAsia"/>
          <w:b/>
          <w:vanish/>
          <w:sz w:val="28"/>
        </w:rPr>
        <w:t>TC 14、项目评估论证费绩效目标表 \f C \l 1</w:t>
      </w:r>
      <w:r>
        <w:rPr>
          <w:rFonts w:ascii="方正仿宋_GBK" w:eastAsia="方正仿宋_GBK"/>
          <w:b/>
          <w:vanish/>
          <w:sz w:val="28"/>
        </w:rPr>
        <w:t xml:space="preserve"> }</w:t>
      </w:r>
    </w:p>
    <w:tbl>
      <w:tblPr>
        <w:jc w:val="center"/>
        <w:tblW w:w="94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rPr>
          <w:trHeight w:val="397"/>
        </w:trPr>
        <w:tc>
          <w:tcPr>
            <w:tcW w:w="7711" w:type="dxa"/>
            <w:gridSpan w:val="6"/>
            <w:tcBorders>
              <w:top w:val="single" w:sz="6" w:space="0" w:color="FFFFFF"/>
              <w:left w:val="single" w:sz="6" w:space="0" w:color="FFFFFF"/>
              <w:bottom w:val="single" w:sz="6" w:space="0" w:color="000000"/>
              <w:right w:val="single" w:sz="6" w:space="0" w:color="FFFFFF"/>
            </w:tcBorders>
            <w:shd w:val="clear" w:color="auto" w:fill="auto"/>
            <w:vAlign w:val="center"/>
          </w:tcPr>
          <w:p>
            <w:pPr>
              <w:spacing w:line="300" w:lineRule="exact"/>
              <w:jc w:val="left"/>
              <w:rPr>
                <w:rFonts w:ascii="方正书宋_GBK" w:eastAsia="方正书宋_GBK"/>
                <w:b/>
              </w:rPr>
            </w:pPr>
            <w:r>
              <w:rPr>
                <w:rFonts w:ascii="方正书宋_GBK" w:eastAsia="方正书宋_GBK" w:hint="eastAsia"/>
                <w:b/>
              </w:rPr>
              <w:t>810001霸州市发展和改革局本级</w:t>
            </w:r>
          </w:p>
        </w:tc>
        <w:tc>
          <w:tcPr>
            <w:tcW w:w="1701" w:type="dxa"/>
            <w:tcBorders>
              <w:top w:val="single" w:sz="6" w:space="0" w:color="FFFFFF"/>
              <w:left w:val="single" w:sz="6" w:space="0" w:color="FFFFFF"/>
              <w:bottom w:val="single" w:sz="6" w:space="0" w:color="000000"/>
              <w:right w:val="single" w:sz="6" w:space="0" w:color="FFFFFF"/>
            </w:tcBorders>
            <w:shd w:val="clear" w:color="auto" w:fill="auto"/>
            <w:vAlign w:val="center"/>
          </w:tcPr>
          <w:p>
            <w:pPr>
              <w:spacing w:line="300" w:lineRule="exact"/>
              <w:jc w:val="right"/>
              <w:rPr>
                <w:rFonts w:ascii="方正书宋_GBK" w:eastAsia="方正书宋_GBK"/>
              </w:rPr>
            </w:pPr>
            <w:r>
              <w:rPr>
                <w:rFonts w:ascii="方正书宋_GBK" w:eastAsia="方正书宋_GBK" w:hint="eastAsia"/>
              </w:rPr>
              <w:t>单位：万元</w:t>
            </w:r>
          </w:p>
        </w:tc>
      </w:tr>
      <w:tr>
        <w:trPr>
          <w:trHeight w:val="369"/>
        </w:trPr>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rPr>
              <w:t>13108121RG0MUOATBFH28</w:t>
            </w:r>
          </w:p>
        </w:tc>
        <w:tc>
          <w:tcPr>
            <w:tcW w:w="1587"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项目评估论证费</w:t>
            </w:r>
          </w:p>
        </w:tc>
      </w:tr>
      <w:tr>
        <w:trPr>
          <w:trHeight w:val="369"/>
        </w:trPr>
        <w:tc>
          <w:tcPr>
            <w:tcW w:w="113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预算数</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rPr>
              <w:t>140.00</w:t>
            </w:r>
          </w:p>
        </w:tc>
        <w:tc>
          <w:tcPr>
            <w:tcW w:w="1587"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rPr>
              <w:t>140.00</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其他资金</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rPr>
              <w:t>0</w:t>
            </w:r>
          </w:p>
        </w:tc>
      </w:tr>
      <w:tr>
        <w:trPr>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8278"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对全市政府投资项目、重大固定资产投资项目，由符合资质要求的咨询中介机构评估论证，且评估论证费用需由委托评估的项目审批机关承担。</w:t>
            </w:r>
          </w:p>
        </w:tc>
      </w:tr>
      <w:tr>
        <w:trPr>
          <w:trHeight w:val="369"/>
        </w:trPr>
        <w:tc>
          <w:tcPr>
            <w:tcW w:w="113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资金支出计划（%）</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3月底</w:t>
            </w:r>
          </w:p>
        </w:tc>
        <w:tc>
          <w:tcPr>
            <w:tcW w:w="1587"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6月底</w:t>
            </w:r>
          </w:p>
        </w:tc>
        <w:tc>
          <w:tcPr>
            <w:tcW w:w="130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10月底</w:t>
            </w:r>
          </w:p>
        </w:tc>
        <w:tc>
          <w:tcPr>
            <w:tcW w:w="297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12月底</w:t>
            </w:r>
          </w:p>
        </w:tc>
      </w:tr>
      <w:tr>
        <w:trPr>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r>
              <w:rPr>
                <w:rFonts w:ascii="方正书宋_GBK" w:eastAsia="方正书宋_GBK"/>
              </w:rPr>
              <w:t>30.00%</w:t>
            </w:r>
          </w:p>
        </w:tc>
        <w:tc>
          <w:tcPr>
            <w:tcW w:w="1587"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r>
              <w:rPr>
                <w:rFonts w:ascii="方正书宋_GBK" w:eastAsia="方正书宋_GBK"/>
              </w:rPr>
              <w:t>60.00%</w:t>
            </w:r>
          </w:p>
        </w:tc>
        <w:tc>
          <w:tcPr>
            <w:tcW w:w="130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r>
              <w:rPr>
                <w:rFonts w:ascii="方正书宋_GBK" w:eastAsia="方正书宋_GBK"/>
              </w:rPr>
              <w:t>90.00%</w:t>
            </w:r>
          </w:p>
        </w:tc>
        <w:tc>
          <w:tcPr>
            <w:tcW w:w="297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rPr>
          <w:trHeight w:val="369"/>
        </w:trPr>
        <w:tc>
          <w:tcPr>
            <w:tcW w:w="1134" w:type="dxa"/>
            <w:tcBorders>
              <w:top w:val="single" w:sz="6" w:space="0" w:color="000000"/>
              <w:left w:val="single" w:sz="6" w:space="0" w:color="000000"/>
              <w:bottom w:val="nil"/>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top w:val="single" w:sz="6" w:space="0" w:color="000000"/>
              <w:left w:val="single" w:sz="6" w:space="0" w:color="000000"/>
              <w:bottom w:val="nil"/>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1.2021年预计对90家以上项目进行评估论证，出具评估报告，供市政府投资项目和重大固定资产投资项目决策使用。</w:t>
            </w:r>
          </w:p>
        </w:tc>
      </w:tr>
    </w:tbl>
    <w:p>
      <w:pPr>
        <w:spacing w:line="14" w:lineRule="exact"/>
        <w:jc w:val="center"/>
        <w:rPr>
          <w:rFonts w:ascii="Times New Roman" w:hAnsi="Times New Roman"/>
        </w:rPr>
      </w:pPr>
      <w:r>
        <w:rPr>
          <w:rFonts w:ascii="方正书宋_GBK" w:eastAsia="方正书宋_GBK"/>
        </w:rPr>
        <w:t xml:space="preserve"> </w:t>
      </w:r>
    </w:p>
    <w:tbl>
      <w:tblPr>
        <w:jc w:val="center"/>
        <w:tblW w:w="94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134"/>
        <w:gridCol w:w="1134"/>
        <w:gridCol w:w="1276"/>
        <w:gridCol w:w="2891"/>
        <w:gridCol w:w="1276"/>
        <w:gridCol w:w="1701"/>
      </w:tblGrid>
      <w:tr>
        <w:trPr>
          <w:cantSplit/>
          <w:trHeight w:val="397"/>
          <w:tblHeader/>
        </w:trPr>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一级指标</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二级指标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三级指标</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指标值</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指标值确定依据</w:t>
            </w:r>
          </w:p>
        </w:tc>
      </w:tr>
      <w:tr>
        <w:trPr>
          <w:cantSplit/>
          <w:trHeight w:val="369"/>
        </w:trPr>
        <w:tc>
          <w:tcPr>
            <w:tcW w:w="113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r>
              <w:rPr>
                <w:rFonts w:ascii="方正书宋_GBK" w:eastAsia="方正书宋_GBK" w:hint="eastAsia"/>
              </w:rPr>
              <w:t>产出指标</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数量指标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评审政府项目个数</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评审政府项目及重大固定资投资的项目个数</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≥90个</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计划指标</w:t>
            </w:r>
          </w:p>
        </w:tc>
      </w:tr>
      <w:tr>
        <w:trPr>
          <w:cantSplit/>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质量指标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评估报告合格率</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评估报告合格率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rPr>
              <w:t>100%</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计划指标</w:t>
            </w:r>
          </w:p>
        </w:tc>
      </w:tr>
      <w:tr>
        <w:trPr>
          <w:cantSplit/>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质量指标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意见建议采纳率</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被市政府投资决策采纳的报告结论数量占总报告数量的比率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≥95%</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计划指标</w:t>
            </w:r>
          </w:p>
        </w:tc>
      </w:tr>
      <w:tr>
        <w:trPr>
          <w:cantSplit/>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时效指标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出具评估报告时间</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评估报告出具、评估论证工作完成时间</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按合同约定时间出具报告</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计划指标</w:t>
            </w:r>
          </w:p>
        </w:tc>
      </w:tr>
      <w:tr>
        <w:trPr>
          <w:cantSplit/>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成本指标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总预算控制数</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项目评估论证费不超过总预算金额</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≤140万元</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计划指标</w:t>
            </w:r>
          </w:p>
        </w:tc>
      </w:tr>
      <w:tr>
        <w:trPr>
          <w:cantSplit/>
          <w:trHeight w:val="369"/>
        </w:trPr>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hint="eastAsia"/>
              </w:rPr>
            </w:pPr>
            <w:r>
              <w:rPr>
                <w:rFonts w:ascii="方正书宋_GBK" w:eastAsia="方正书宋_GBK" w:hint="eastAsia"/>
              </w:rPr>
              <w:t>效益指标</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社会效益指标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市政府投资建设项目效益实现程度</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确保市政府投资建设项目更好的发挥社会效益和经济效益</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有所提升</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计划指标</w:t>
            </w:r>
          </w:p>
        </w:tc>
      </w:tr>
      <w:tr>
        <w:trPr>
          <w:cantSplit/>
          <w:trHeight w:val="369"/>
        </w:trPr>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hint="eastAsia"/>
              </w:rPr>
            </w:pPr>
            <w:r>
              <w:rPr>
                <w:rFonts w:ascii="方正书宋_GBK" w:eastAsia="方正书宋_GBK" w:hint="eastAsia"/>
              </w:rPr>
              <w:t>满意度指标</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服务对象满意度指标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服务对象满意度</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市政府投资决策部门满意度</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≥90%</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计划指标</w:t>
            </w:r>
          </w:p>
        </w:tc>
      </w:tr>
    </w:tbl>
    <w:p>
      <w:pPr>
        <w:spacing w:line="300" w:lineRule="exact"/>
        <w:jc w:val="left"/>
        <w:sectPr>
          <w:pgSz w:w="11907" w:h="16839"/>
          <w:pgMar w:top="1984" w:right="1304" w:bottom="1134" w:left="1304" w:header="851" w:footer="992" w:gutter="0"/>
          <w:docGrid w:type="lines" w:linePitch="312" w:charSpace="0"/>
        </w:sectPr>
      </w:pPr>
    </w:p>
    <w:p>
      <w:pPr>
        <w:spacing w:line="300" w:lineRule="exact"/>
        <w:jc w:val="left"/>
      </w:pPr>
    </w:p>
    <w:p>
      <w:pPr>
        <w:ind w:firstLineChars="200" w:firstLine="560"/>
        <w:jc w:val="left"/>
        <w:outlineLvl w:val="3"/>
        <w:rPr>
          <w:rFonts w:ascii="Times New Roman" w:hAnsi="Times New Roman"/>
          <w:b/>
          <w:sz w:val="28"/>
        </w:rPr>
      </w:pPr>
      <w:bookmarkStart w:id="20" w:name="_Toc65759958"/>
      <w:r>
        <w:rPr>
          <w:rFonts w:ascii="方正仿宋_GBK" w:eastAsia="方正仿宋_GBK" w:hint="eastAsia"/>
          <w:b/>
          <w:sz w:val="28"/>
        </w:rPr>
        <w:t>15.霸州市大运河相关规划经费绩效目标表</w:t>
      </w:r>
      <w:bookmarkEnd w:id="20"/>
      <w:r>
        <w:rPr>
          <w:rFonts w:ascii="方正仿宋_GBK" w:eastAsia="方正仿宋_GBK"/>
          <w:b/>
          <w:vanish/>
          <w:sz w:val="28"/>
        </w:rPr>
        <w:t xml:space="preserve">{ </w:t>
      </w:r>
      <w:r>
        <w:rPr>
          <w:rFonts w:ascii="方正仿宋_GBK" w:eastAsia="方正仿宋_GBK" w:hint="eastAsia"/>
          <w:b/>
          <w:vanish/>
          <w:sz w:val="28"/>
        </w:rPr>
        <w:t>TC 15、霸州市大运河相关规划经费绩效目标表 \f C \l 1</w:t>
      </w:r>
      <w:r>
        <w:rPr>
          <w:rFonts w:ascii="方正仿宋_GBK" w:eastAsia="方正仿宋_GBK"/>
          <w:b/>
          <w:vanish/>
          <w:sz w:val="28"/>
        </w:rPr>
        <w:t xml:space="preserve"> }</w:t>
      </w:r>
    </w:p>
    <w:tbl>
      <w:tblPr>
        <w:jc w:val="center"/>
        <w:tblW w:w="94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rPr>
          <w:trHeight w:val="397"/>
        </w:trPr>
        <w:tc>
          <w:tcPr>
            <w:tcW w:w="7711" w:type="dxa"/>
            <w:gridSpan w:val="6"/>
            <w:tcBorders>
              <w:top w:val="single" w:sz="6" w:space="0" w:color="FFFFFF"/>
              <w:left w:val="single" w:sz="6" w:space="0" w:color="FFFFFF"/>
              <w:bottom w:val="single" w:sz="6" w:space="0" w:color="000000"/>
              <w:right w:val="single" w:sz="6" w:space="0" w:color="FFFFFF"/>
            </w:tcBorders>
            <w:shd w:val="clear" w:color="auto" w:fill="auto"/>
            <w:vAlign w:val="center"/>
          </w:tcPr>
          <w:p>
            <w:pPr>
              <w:spacing w:line="300" w:lineRule="exact"/>
              <w:jc w:val="left"/>
              <w:rPr>
                <w:rFonts w:ascii="方正书宋_GBK" w:eastAsia="方正书宋_GBK"/>
                <w:b/>
              </w:rPr>
            </w:pPr>
            <w:r>
              <w:rPr>
                <w:rFonts w:ascii="方正书宋_GBK" w:eastAsia="方正书宋_GBK" w:hint="eastAsia"/>
                <w:b/>
              </w:rPr>
              <w:t>810001霸州市发展和改革局本级</w:t>
            </w:r>
          </w:p>
        </w:tc>
        <w:tc>
          <w:tcPr>
            <w:tcW w:w="1701" w:type="dxa"/>
            <w:tcBorders>
              <w:top w:val="single" w:sz="6" w:space="0" w:color="FFFFFF"/>
              <w:left w:val="single" w:sz="6" w:space="0" w:color="FFFFFF"/>
              <w:bottom w:val="single" w:sz="6" w:space="0" w:color="000000"/>
              <w:right w:val="single" w:sz="6" w:space="0" w:color="FFFFFF"/>
            </w:tcBorders>
            <w:shd w:val="clear" w:color="auto" w:fill="auto"/>
            <w:vAlign w:val="center"/>
          </w:tcPr>
          <w:p>
            <w:pPr>
              <w:spacing w:line="300" w:lineRule="exact"/>
              <w:jc w:val="right"/>
              <w:rPr>
                <w:rFonts w:ascii="方正书宋_GBK" w:eastAsia="方正书宋_GBK"/>
              </w:rPr>
            </w:pPr>
            <w:r>
              <w:rPr>
                <w:rFonts w:ascii="方正书宋_GBK" w:eastAsia="方正书宋_GBK" w:hint="eastAsia"/>
              </w:rPr>
              <w:t>单位：万元</w:t>
            </w:r>
          </w:p>
        </w:tc>
      </w:tr>
      <w:tr>
        <w:trPr>
          <w:trHeight w:val="369"/>
        </w:trPr>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rPr>
              <w:t>13108121UPDB0I15OBIMW</w:t>
            </w:r>
          </w:p>
        </w:tc>
        <w:tc>
          <w:tcPr>
            <w:tcW w:w="1587"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霸州市大运河相关规划经费</w:t>
            </w:r>
          </w:p>
        </w:tc>
      </w:tr>
      <w:tr>
        <w:trPr>
          <w:trHeight w:val="369"/>
        </w:trPr>
        <w:tc>
          <w:tcPr>
            <w:tcW w:w="113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预算数</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rPr>
              <w:t>500.00</w:t>
            </w:r>
          </w:p>
        </w:tc>
        <w:tc>
          <w:tcPr>
            <w:tcW w:w="1587"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rPr>
              <w:t>500.00</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其他资金</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rPr>
              <w:t>0</w:t>
            </w:r>
          </w:p>
        </w:tc>
      </w:tr>
      <w:tr>
        <w:trPr>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8278"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霸州市依照“规划先行、科学引领”的原则，结合“全域规划、重点突出”的要求，科学合理编制我市“1+1+7+1”的大运河规划体系， 即1项《实施规划》总体指导，1项《实施方案》总体推进，《文化和旅游融合发展实施方案》、《土地利用实施方案》、《生态环境保护修复实施方案》、《河道水系治理管护实施方案》、《交通体系建设实施方案》、《文化遗产保护传承实施方案》、《美丽乡村片区建设实施方案》等7个实施方案和1个《整体景观和城市建筑风貌规划》共8个配套方案分类支撑。通过实施本项目，着力强化文化遗产保护传承，着力推进河道水</w:t>
            </w:r>
          </w:p>
        </w:tc>
      </w:tr>
      <w:tr>
        <w:trPr>
          <w:trHeight w:val="369"/>
        </w:trPr>
        <w:tc>
          <w:tcPr>
            <w:tcW w:w="113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资金支出计划（%）</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3月底</w:t>
            </w:r>
          </w:p>
        </w:tc>
        <w:tc>
          <w:tcPr>
            <w:tcW w:w="1587"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6月底</w:t>
            </w:r>
          </w:p>
        </w:tc>
        <w:tc>
          <w:tcPr>
            <w:tcW w:w="130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10月底</w:t>
            </w:r>
          </w:p>
        </w:tc>
        <w:tc>
          <w:tcPr>
            <w:tcW w:w="297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12月底</w:t>
            </w:r>
          </w:p>
        </w:tc>
      </w:tr>
      <w:tr>
        <w:trPr>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r>
              <w:rPr>
                <w:rFonts w:ascii="方正书宋_GBK" w:eastAsia="方正书宋_GBK"/>
              </w:rPr>
              <w:t>40.00%</w:t>
            </w:r>
          </w:p>
        </w:tc>
        <w:tc>
          <w:tcPr>
            <w:tcW w:w="1587"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r>
              <w:rPr>
                <w:rFonts w:ascii="方正书宋_GBK" w:eastAsia="方正书宋_GBK"/>
              </w:rPr>
              <w:t>60.00%</w:t>
            </w:r>
          </w:p>
        </w:tc>
        <w:tc>
          <w:tcPr>
            <w:tcW w:w="130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rPr>
          <w:trHeight w:val="369"/>
        </w:trPr>
        <w:tc>
          <w:tcPr>
            <w:tcW w:w="1134" w:type="dxa"/>
            <w:tcBorders>
              <w:top w:val="single" w:sz="6" w:space="0" w:color="000000"/>
              <w:left w:val="single" w:sz="6" w:space="0" w:color="000000"/>
              <w:bottom w:val="nil"/>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top w:val="single" w:sz="6" w:space="0" w:color="000000"/>
              <w:left w:val="single" w:sz="6" w:space="0" w:color="000000"/>
              <w:bottom w:val="nil"/>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1.本年度完成1项总体规划项目</w:t>
            </w:r>
          </w:p>
          <w:p>
            <w:pPr>
              <w:spacing w:line="300" w:lineRule="exact"/>
              <w:jc w:val="left"/>
              <w:rPr>
                <w:rFonts w:ascii="方正书宋_GBK" w:eastAsia="方正书宋_GBK" w:hint="eastAsia"/>
              </w:rPr>
            </w:pPr>
            <w:r>
              <w:rPr>
                <w:rFonts w:ascii="方正书宋_GBK" w:eastAsia="方正书宋_GBK" w:hint="eastAsia"/>
              </w:rPr>
              <w:t>2.本年度1项总方案和7项专项实施方案编制</w:t>
            </w:r>
          </w:p>
          <w:p>
            <w:pPr>
              <w:spacing w:line="300" w:lineRule="exact"/>
              <w:jc w:val="left"/>
              <w:rPr>
                <w:rFonts w:ascii="方正书宋_GBK" w:eastAsia="方正书宋_GBK"/>
              </w:rPr>
            </w:pPr>
            <w:r>
              <w:rPr>
                <w:rFonts w:ascii="方正书宋_GBK" w:eastAsia="方正书宋_GBK" w:hint="eastAsia"/>
              </w:rPr>
              <w:t>3.本年度完成《整体景观和城市建筑风貌规划》</w:t>
            </w:r>
          </w:p>
        </w:tc>
      </w:tr>
    </w:tbl>
    <w:p>
      <w:pPr>
        <w:spacing w:line="14" w:lineRule="exact"/>
        <w:jc w:val="center"/>
        <w:rPr>
          <w:rFonts w:ascii="Times New Roman" w:hAnsi="Times New Roman"/>
        </w:rPr>
      </w:pPr>
      <w:r>
        <w:rPr>
          <w:rFonts w:ascii="方正书宋_GBK" w:eastAsia="方正书宋_GBK"/>
        </w:rPr>
        <w:t xml:space="preserve"> </w:t>
      </w:r>
    </w:p>
    <w:tbl>
      <w:tblPr>
        <w:jc w:val="center"/>
        <w:tblW w:w="94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134"/>
        <w:gridCol w:w="1134"/>
        <w:gridCol w:w="1276"/>
        <w:gridCol w:w="2891"/>
        <w:gridCol w:w="1276"/>
        <w:gridCol w:w="1701"/>
      </w:tblGrid>
      <w:tr>
        <w:trPr>
          <w:cantSplit/>
          <w:trHeight w:val="397"/>
          <w:tblHeader/>
        </w:trPr>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一级指标</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二级指标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三级指标</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指标值</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指标值确定依据</w:t>
            </w:r>
          </w:p>
        </w:tc>
      </w:tr>
      <w:tr>
        <w:trPr>
          <w:cantSplit/>
          <w:trHeight w:val="369"/>
        </w:trPr>
        <w:tc>
          <w:tcPr>
            <w:tcW w:w="113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r>
              <w:rPr>
                <w:rFonts w:ascii="方正书宋_GBK" w:eastAsia="方正书宋_GBK" w:hint="eastAsia"/>
              </w:rPr>
              <w:t>产出指标</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数量指标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总体规划数量</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总体规划数量</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1套</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计划指标</w:t>
            </w:r>
          </w:p>
        </w:tc>
      </w:tr>
      <w:tr>
        <w:trPr>
          <w:cantSplit/>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数量指标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实施方案数量</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实施方案数量</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7套</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计划指标</w:t>
            </w:r>
          </w:p>
        </w:tc>
      </w:tr>
      <w:tr>
        <w:trPr>
          <w:cantSplit/>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数量指标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分项规划数量</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分项规划数量</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1套</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计划指标</w:t>
            </w:r>
          </w:p>
        </w:tc>
      </w:tr>
      <w:tr>
        <w:trPr>
          <w:cantSplit/>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质量指标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验收通过率</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验收通过率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rPr>
              <w:t>100%</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计划指标</w:t>
            </w:r>
          </w:p>
        </w:tc>
      </w:tr>
      <w:tr>
        <w:trPr>
          <w:cantSplit/>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时效指标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完成验收时间</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完成验收时间</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≤18个月</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计划指标</w:t>
            </w:r>
          </w:p>
        </w:tc>
      </w:tr>
      <w:tr>
        <w:trPr>
          <w:cantSplit/>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成本指标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项目预算控制数</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经费控制在预算范围之内</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≤500万元</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计划指标</w:t>
            </w:r>
          </w:p>
        </w:tc>
      </w:tr>
      <w:tr>
        <w:trPr>
          <w:cantSplit/>
          <w:trHeight w:val="369"/>
        </w:trPr>
        <w:tc>
          <w:tcPr>
            <w:tcW w:w="113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hint="eastAsia"/>
              </w:rPr>
            </w:pPr>
            <w:r>
              <w:rPr>
                <w:rFonts w:ascii="方正书宋_GBK" w:eastAsia="方正书宋_GBK" w:hint="eastAsia"/>
              </w:rPr>
              <w:t>效益指标</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社会效益指标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霸州段大运河带动旅游人口增多</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霸州段大运河可带动旅游人口增多率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效果显著</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计划指标</w:t>
            </w:r>
          </w:p>
        </w:tc>
      </w:tr>
      <w:tr>
        <w:trPr>
          <w:cantSplit/>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可持续影响指标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规划影响时间</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规划影响时间持续的时间</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50年</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计划指标</w:t>
            </w:r>
          </w:p>
        </w:tc>
      </w:tr>
      <w:tr>
        <w:trPr>
          <w:cantSplit/>
          <w:trHeight w:val="369"/>
        </w:trPr>
        <w:tc>
          <w:tcPr>
            <w:tcW w:w="113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hint="eastAsia"/>
              </w:rPr>
            </w:pPr>
            <w:r>
              <w:rPr>
                <w:rFonts w:ascii="方正书宋_GBK" w:eastAsia="方正书宋_GBK" w:hint="eastAsia"/>
              </w:rPr>
              <w:t>满意度指标</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服务对象满意度指标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政府相关部门满意</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政府相关部门满意</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≥95%</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计划指标</w:t>
            </w:r>
          </w:p>
        </w:tc>
      </w:tr>
      <w:tr>
        <w:trPr>
          <w:cantSplit/>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服务对象满意度指标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成果应用单位满意度</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成果应用单位满意度</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≥95%</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计划指标</w:t>
            </w:r>
          </w:p>
        </w:tc>
      </w:tr>
    </w:tbl>
    <w:p>
      <w:pPr>
        <w:spacing w:line="300" w:lineRule="exact"/>
        <w:jc w:val="left"/>
        <w:sectPr>
          <w:pgSz w:w="11907" w:h="16839"/>
          <w:pgMar w:top="1984" w:right="1304" w:bottom="1134" w:left="1304" w:header="851" w:footer="992" w:gutter="0"/>
          <w:docGrid w:type="lines" w:linePitch="312" w:charSpace="0"/>
        </w:sectPr>
      </w:pPr>
    </w:p>
    <w:p>
      <w:pPr>
        <w:spacing w:line="300" w:lineRule="exact"/>
        <w:jc w:val="left"/>
      </w:pPr>
    </w:p>
    <w:p>
      <w:pPr>
        <w:ind w:firstLineChars="200" w:firstLine="560"/>
        <w:jc w:val="left"/>
        <w:outlineLvl w:val="3"/>
        <w:rPr>
          <w:rFonts w:ascii="Times New Roman" w:hAnsi="Times New Roman"/>
          <w:b/>
          <w:sz w:val="28"/>
        </w:rPr>
      </w:pPr>
      <w:bookmarkStart w:id="21" w:name="_Toc65759959"/>
      <w:r>
        <w:rPr>
          <w:rFonts w:ascii="方正仿宋_GBK" w:eastAsia="方正仿宋_GBK" w:hint="eastAsia"/>
          <w:b/>
          <w:sz w:val="28"/>
        </w:rPr>
        <w:t>16.粮食物资统计经费绩效目标表</w:t>
      </w:r>
      <w:bookmarkEnd w:id="21"/>
      <w:r>
        <w:rPr>
          <w:rFonts w:ascii="方正仿宋_GBK" w:eastAsia="方正仿宋_GBK"/>
          <w:b/>
          <w:vanish/>
          <w:sz w:val="28"/>
        </w:rPr>
        <w:t xml:space="preserve">{ </w:t>
      </w:r>
      <w:r>
        <w:rPr>
          <w:rFonts w:ascii="方正仿宋_GBK" w:eastAsia="方正仿宋_GBK" w:hint="eastAsia"/>
          <w:b/>
          <w:vanish/>
          <w:sz w:val="28"/>
        </w:rPr>
        <w:t>TC 16、粮食物资统计经费绩效目标表 \f C \l 1</w:t>
      </w:r>
      <w:r>
        <w:rPr>
          <w:rFonts w:ascii="方正仿宋_GBK" w:eastAsia="方正仿宋_GBK"/>
          <w:b/>
          <w:vanish/>
          <w:sz w:val="28"/>
        </w:rPr>
        <w:t xml:space="preserve"> }</w:t>
      </w:r>
    </w:p>
    <w:tbl>
      <w:tblPr>
        <w:jc w:val="center"/>
        <w:tblW w:w="94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rPr>
          <w:trHeight w:val="397"/>
        </w:trPr>
        <w:tc>
          <w:tcPr>
            <w:tcW w:w="7711" w:type="dxa"/>
            <w:gridSpan w:val="6"/>
            <w:tcBorders>
              <w:top w:val="single" w:sz="6" w:space="0" w:color="FFFFFF"/>
              <w:left w:val="single" w:sz="6" w:space="0" w:color="FFFFFF"/>
              <w:bottom w:val="single" w:sz="6" w:space="0" w:color="000000"/>
              <w:right w:val="single" w:sz="6" w:space="0" w:color="FFFFFF"/>
            </w:tcBorders>
            <w:shd w:val="clear" w:color="auto" w:fill="auto"/>
            <w:vAlign w:val="center"/>
          </w:tcPr>
          <w:p>
            <w:pPr>
              <w:spacing w:line="300" w:lineRule="exact"/>
              <w:jc w:val="left"/>
              <w:rPr>
                <w:rFonts w:ascii="方正书宋_GBK" w:eastAsia="方正书宋_GBK"/>
                <w:b/>
              </w:rPr>
            </w:pPr>
            <w:r>
              <w:rPr>
                <w:rFonts w:ascii="方正书宋_GBK" w:eastAsia="方正书宋_GBK" w:hint="eastAsia"/>
                <w:b/>
              </w:rPr>
              <w:t>810001霸州市发展和改革局本级</w:t>
            </w:r>
          </w:p>
        </w:tc>
        <w:tc>
          <w:tcPr>
            <w:tcW w:w="1701" w:type="dxa"/>
            <w:tcBorders>
              <w:top w:val="single" w:sz="6" w:space="0" w:color="FFFFFF"/>
              <w:left w:val="single" w:sz="6" w:space="0" w:color="FFFFFF"/>
              <w:bottom w:val="single" w:sz="6" w:space="0" w:color="000000"/>
              <w:right w:val="single" w:sz="6" w:space="0" w:color="FFFFFF"/>
            </w:tcBorders>
            <w:shd w:val="clear" w:color="auto" w:fill="auto"/>
            <w:vAlign w:val="center"/>
          </w:tcPr>
          <w:p>
            <w:pPr>
              <w:spacing w:line="300" w:lineRule="exact"/>
              <w:jc w:val="right"/>
              <w:rPr>
                <w:rFonts w:ascii="方正书宋_GBK" w:eastAsia="方正书宋_GBK"/>
              </w:rPr>
            </w:pPr>
            <w:r>
              <w:rPr>
                <w:rFonts w:ascii="方正书宋_GBK" w:eastAsia="方正书宋_GBK" w:hint="eastAsia"/>
              </w:rPr>
              <w:t>单位：万元</w:t>
            </w:r>
          </w:p>
        </w:tc>
      </w:tr>
      <w:tr>
        <w:trPr>
          <w:trHeight w:val="369"/>
        </w:trPr>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rPr>
              <w:t>13108121VRFISD6BM5NFB</w:t>
            </w:r>
          </w:p>
        </w:tc>
        <w:tc>
          <w:tcPr>
            <w:tcW w:w="1587"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粮食物资统计经费</w:t>
            </w:r>
          </w:p>
        </w:tc>
      </w:tr>
      <w:tr>
        <w:trPr>
          <w:trHeight w:val="369"/>
        </w:trPr>
        <w:tc>
          <w:tcPr>
            <w:tcW w:w="113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预算数</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rPr>
              <w:t>2.00</w:t>
            </w:r>
          </w:p>
        </w:tc>
        <w:tc>
          <w:tcPr>
            <w:tcW w:w="1587"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rPr>
              <w:t>2.00</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其他资金</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rPr>
              <w:t>0</w:t>
            </w:r>
          </w:p>
        </w:tc>
      </w:tr>
      <w:tr>
        <w:trPr>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8278"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统计经费项目金额2.00万元整，用于2021年粮食流通统计调查工作的各项费用开支，调查复印资料费、统计人员培训费、调查工作专兼职人员各项支出、配置专项调查设备、调查对象费用支出等，以保障全年粮食流通统计调查工作顺利开展和达到统计调查数据真实，有效发挥统计数据指导行业和粮油市场宏观调控作用。</w:t>
            </w:r>
          </w:p>
        </w:tc>
      </w:tr>
      <w:tr>
        <w:trPr>
          <w:trHeight w:val="369"/>
        </w:trPr>
        <w:tc>
          <w:tcPr>
            <w:tcW w:w="113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资金支出计划（%）</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3月底</w:t>
            </w:r>
          </w:p>
        </w:tc>
        <w:tc>
          <w:tcPr>
            <w:tcW w:w="1587"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6月底</w:t>
            </w:r>
          </w:p>
        </w:tc>
        <w:tc>
          <w:tcPr>
            <w:tcW w:w="130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10月底</w:t>
            </w:r>
          </w:p>
        </w:tc>
        <w:tc>
          <w:tcPr>
            <w:tcW w:w="297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12月底</w:t>
            </w:r>
          </w:p>
        </w:tc>
      </w:tr>
      <w:tr>
        <w:trPr>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r>
              <w:rPr>
                <w:rFonts w:ascii="方正书宋_GBK" w:eastAsia="方正书宋_GBK"/>
              </w:rPr>
              <w:t>30.00%</w:t>
            </w:r>
          </w:p>
        </w:tc>
        <w:tc>
          <w:tcPr>
            <w:tcW w:w="1587"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r>
              <w:rPr>
                <w:rFonts w:ascii="方正书宋_GBK" w:eastAsia="方正书宋_GBK"/>
              </w:rPr>
              <w:t>60.00%</w:t>
            </w:r>
          </w:p>
        </w:tc>
        <w:tc>
          <w:tcPr>
            <w:tcW w:w="130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r>
              <w:rPr>
                <w:rFonts w:ascii="方正书宋_GBK" w:eastAsia="方正书宋_GBK"/>
              </w:rPr>
              <w:t>90.00%</w:t>
            </w:r>
          </w:p>
        </w:tc>
        <w:tc>
          <w:tcPr>
            <w:tcW w:w="297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rPr>
          <w:trHeight w:val="369"/>
        </w:trPr>
        <w:tc>
          <w:tcPr>
            <w:tcW w:w="1134" w:type="dxa"/>
            <w:tcBorders>
              <w:top w:val="single" w:sz="6" w:space="0" w:color="000000"/>
              <w:left w:val="single" w:sz="6" w:space="0" w:color="000000"/>
              <w:bottom w:val="nil"/>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top w:val="single" w:sz="6" w:space="0" w:color="000000"/>
              <w:left w:val="single" w:sz="6" w:space="0" w:color="000000"/>
              <w:bottom w:val="nil"/>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1.2021年确保各项统计调查工作科学有效开展，保障统计数据真实可靠，提升统计服务决策的能力。</w:t>
            </w:r>
          </w:p>
        </w:tc>
      </w:tr>
    </w:tbl>
    <w:p>
      <w:pPr>
        <w:spacing w:line="14" w:lineRule="exact"/>
        <w:jc w:val="center"/>
        <w:rPr>
          <w:rFonts w:ascii="Times New Roman" w:hAnsi="Times New Roman"/>
        </w:rPr>
      </w:pPr>
      <w:r>
        <w:rPr>
          <w:rFonts w:ascii="方正书宋_GBK" w:eastAsia="方正书宋_GBK"/>
        </w:rPr>
        <w:t xml:space="preserve"> </w:t>
      </w:r>
    </w:p>
    <w:tbl>
      <w:tblPr>
        <w:jc w:val="center"/>
        <w:tblW w:w="94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134"/>
        <w:gridCol w:w="1134"/>
        <w:gridCol w:w="1276"/>
        <w:gridCol w:w="2891"/>
        <w:gridCol w:w="1276"/>
        <w:gridCol w:w="1701"/>
      </w:tblGrid>
      <w:tr>
        <w:trPr>
          <w:cantSplit/>
          <w:trHeight w:val="397"/>
          <w:tblHeader/>
        </w:trPr>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一级指标</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二级指标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三级指标</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指标值</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指标值确定依据</w:t>
            </w:r>
          </w:p>
        </w:tc>
      </w:tr>
      <w:tr>
        <w:trPr>
          <w:cantSplit/>
          <w:trHeight w:val="369"/>
        </w:trPr>
        <w:tc>
          <w:tcPr>
            <w:tcW w:w="113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r>
              <w:rPr>
                <w:rFonts w:ascii="方正书宋_GBK" w:eastAsia="方正书宋_GBK" w:hint="eastAsia"/>
              </w:rPr>
              <w:t>产出指标</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数量指标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粮食流通统计工作</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每年例行开展粮食流通统计</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≥7项</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计划指标</w:t>
            </w:r>
          </w:p>
        </w:tc>
      </w:tr>
      <w:tr>
        <w:trPr>
          <w:cantSplit/>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数量指标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粮食流通统计开展次数</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粮食流通统计开展次数</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≥12次</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计划指标</w:t>
            </w:r>
          </w:p>
        </w:tc>
      </w:tr>
      <w:tr>
        <w:trPr>
          <w:cantSplit/>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数量指标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社会粮油平衡调查工作</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每年例行开展社会粮油平衡调查工作</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1次</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计划指标</w:t>
            </w:r>
          </w:p>
        </w:tc>
      </w:tr>
      <w:tr>
        <w:trPr>
          <w:cantSplit/>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质量指标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统计调查达标率</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保障粮食统计调查达标率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rPr>
              <w:t>100%</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计划指标</w:t>
            </w:r>
          </w:p>
        </w:tc>
      </w:tr>
      <w:tr>
        <w:trPr>
          <w:cantSplit/>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时效指标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粮油统计调查开展频次</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粮油统计调查开展次数</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1次/月</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计划指标</w:t>
            </w:r>
          </w:p>
        </w:tc>
      </w:tr>
      <w:tr>
        <w:trPr>
          <w:cantSplit/>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时效指标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粮油平衡调查频率</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社会粮油平衡调查频率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计划指标</w:t>
            </w:r>
          </w:p>
        </w:tc>
      </w:tr>
      <w:tr>
        <w:trPr>
          <w:cantSplit/>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成本指标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统计工作预算控制数</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统计预算控制数</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≤2万元</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计划指标</w:t>
            </w:r>
          </w:p>
        </w:tc>
      </w:tr>
      <w:tr>
        <w:trPr>
          <w:cantSplit/>
          <w:trHeight w:val="369"/>
        </w:trPr>
        <w:tc>
          <w:tcPr>
            <w:tcW w:w="113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hint="eastAsia"/>
              </w:rPr>
            </w:pPr>
            <w:r>
              <w:rPr>
                <w:rFonts w:ascii="方正书宋_GBK" w:eastAsia="方正书宋_GBK" w:hint="eastAsia"/>
              </w:rPr>
              <w:t>效益指标</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社会效益指标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科学化、规范化</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统计调查科学化，基础规范化</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不断促进</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计划指标</w:t>
            </w:r>
          </w:p>
        </w:tc>
      </w:tr>
      <w:tr>
        <w:trPr>
          <w:cantSplit/>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可持续影响指标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资料真实、准确、完整、及时</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保障统计资料真实、准确、完整、及时</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≥90%</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历史数据</w:t>
            </w:r>
          </w:p>
        </w:tc>
      </w:tr>
      <w:tr>
        <w:trPr>
          <w:cantSplit/>
          <w:trHeight w:val="369"/>
        </w:trPr>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hint="eastAsia"/>
              </w:rPr>
            </w:pPr>
            <w:r>
              <w:rPr>
                <w:rFonts w:ascii="方正书宋_GBK" w:eastAsia="方正书宋_GBK" w:hint="eastAsia"/>
              </w:rPr>
              <w:t>满意度指标</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服务对象满意度指标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调查工作满意度</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粮食企业、个体户、农户、城镇户对粮食调查工作满意度</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≥90%</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调查问卷</w:t>
            </w:r>
          </w:p>
        </w:tc>
      </w:tr>
    </w:tbl>
    <w:p>
      <w:pPr>
        <w:spacing w:line="300" w:lineRule="exact"/>
        <w:jc w:val="left"/>
        <w:sectPr>
          <w:pgSz w:w="11907" w:h="16839"/>
          <w:pgMar w:top="1984" w:right="1304" w:bottom="1134" w:left="1304" w:header="851" w:footer="992" w:gutter="0"/>
          <w:docGrid w:type="lines" w:linePitch="312" w:charSpace="0"/>
        </w:sectPr>
      </w:pPr>
    </w:p>
    <w:p>
      <w:pPr>
        <w:spacing w:line="300" w:lineRule="exact"/>
        <w:jc w:val="left"/>
      </w:pPr>
    </w:p>
    <w:p>
      <w:pPr>
        <w:ind w:firstLineChars="200" w:firstLine="560"/>
        <w:jc w:val="left"/>
        <w:outlineLvl w:val="3"/>
        <w:rPr>
          <w:rFonts w:ascii="Times New Roman" w:hAnsi="Times New Roman"/>
          <w:b/>
          <w:sz w:val="28"/>
        </w:rPr>
      </w:pPr>
      <w:bookmarkStart w:id="22" w:name="_Toc65759960"/>
      <w:r>
        <w:rPr>
          <w:rFonts w:ascii="方正仿宋_GBK" w:eastAsia="方正仿宋_GBK" w:hint="eastAsia"/>
          <w:b/>
          <w:sz w:val="28"/>
        </w:rPr>
        <w:t>17.2018年-2019年新增规模以上服务业企业奖励及在统规模以上服务业数据直报员奖励资金★绩效目标表</w:t>
      </w:r>
      <w:bookmarkEnd w:id="22"/>
      <w:r>
        <w:rPr>
          <w:rFonts w:ascii="方正仿宋_GBK" w:eastAsia="方正仿宋_GBK"/>
          <w:b/>
          <w:vanish/>
          <w:sz w:val="28"/>
        </w:rPr>
        <w:t xml:space="preserve">{ </w:t>
      </w:r>
      <w:r>
        <w:rPr>
          <w:rFonts w:ascii="方正仿宋_GBK" w:eastAsia="方正仿宋_GBK" w:hint="eastAsia"/>
          <w:b/>
          <w:vanish/>
          <w:sz w:val="28"/>
        </w:rPr>
        <w:t>TC 17、2018年-2019年新增规模以上服务业企业奖励及在统规模以上服务业数据直报员奖励资金★绩效目标表 \f C \l 1</w:t>
      </w:r>
      <w:r>
        <w:rPr>
          <w:rFonts w:ascii="方正仿宋_GBK" w:eastAsia="方正仿宋_GBK"/>
          <w:b/>
          <w:vanish/>
          <w:sz w:val="28"/>
        </w:rPr>
        <w:t xml:space="preserve"> }</w:t>
      </w:r>
    </w:p>
    <w:tbl>
      <w:tblPr>
        <w:jc w:val="center"/>
        <w:tblW w:w="94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rPr>
          <w:trHeight w:val="397"/>
        </w:trPr>
        <w:tc>
          <w:tcPr>
            <w:tcW w:w="7711" w:type="dxa"/>
            <w:gridSpan w:val="6"/>
            <w:tcBorders>
              <w:top w:val="single" w:sz="6" w:space="0" w:color="FFFFFF"/>
              <w:left w:val="single" w:sz="6" w:space="0" w:color="FFFFFF"/>
              <w:bottom w:val="single" w:sz="6" w:space="0" w:color="000000"/>
              <w:right w:val="single" w:sz="6" w:space="0" w:color="FFFFFF"/>
            </w:tcBorders>
            <w:shd w:val="clear" w:color="auto" w:fill="auto"/>
            <w:vAlign w:val="center"/>
          </w:tcPr>
          <w:p>
            <w:pPr>
              <w:spacing w:line="300" w:lineRule="exact"/>
              <w:jc w:val="left"/>
              <w:rPr>
                <w:rFonts w:ascii="方正书宋_GBK" w:eastAsia="方正书宋_GBK"/>
                <w:b/>
              </w:rPr>
            </w:pPr>
            <w:r>
              <w:rPr>
                <w:rFonts w:ascii="方正书宋_GBK" w:eastAsia="方正书宋_GBK" w:hint="eastAsia"/>
                <w:b/>
              </w:rPr>
              <w:t>810001霸州市发展和改革局本级</w:t>
            </w:r>
          </w:p>
        </w:tc>
        <w:tc>
          <w:tcPr>
            <w:tcW w:w="1701" w:type="dxa"/>
            <w:tcBorders>
              <w:top w:val="single" w:sz="6" w:space="0" w:color="FFFFFF"/>
              <w:left w:val="single" w:sz="6" w:space="0" w:color="FFFFFF"/>
              <w:bottom w:val="single" w:sz="6" w:space="0" w:color="000000"/>
              <w:right w:val="single" w:sz="6" w:space="0" w:color="FFFFFF"/>
            </w:tcBorders>
            <w:shd w:val="clear" w:color="auto" w:fill="auto"/>
            <w:vAlign w:val="center"/>
          </w:tcPr>
          <w:p>
            <w:pPr>
              <w:spacing w:line="300" w:lineRule="exact"/>
              <w:jc w:val="right"/>
              <w:rPr>
                <w:rFonts w:ascii="方正书宋_GBK" w:eastAsia="方正书宋_GBK"/>
              </w:rPr>
            </w:pPr>
            <w:r>
              <w:rPr>
                <w:rFonts w:ascii="方正书宋_GBK" w:eastAsia="方正书宋_GBK" w:hint="eastAsia"/>
              </w:rPr>
              <w:t>单位：万元</w:t>
            </w:r>
          </w:p>
        </w:tc>
      </w:tr>
      <w:tr>
        <w:trPr>
          <w:trHeight w:val="369"/>
        </w:trPr>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rPr>
              <w:t>13108121YZNXQ4AFXGK6F</w:t>
            </w:r>
          </w:p>
        </w:tc>
        <w:tc>
          <w:tcPr>
            <w:tcW w:w="1587"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2018年-2019年新增规模以上服务业企业奖励及在统规模以上服务业数据直报员奖励资金★</w:t>
            </w:r>
          </w:p>
        </w:tc>
      </w:tr>
      <w:tr>
        <w:trPr>
          <w:trHeight w:val="369"/>
        </w:trPr>
        <w:tc>
          <w:tcPr>
            <w:tcW w:w="113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预算数</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rPr>
              <w:t>10.80</w:t>
            </w:r>
          </w:p>
        </w:tc>
        <w:tc>
          <w:tcPr>
            <w:tcW w:w="1587"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rPr>
              <w:t>10.80</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其他资金</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rPr>
              <w:t>0</w:t>
            </w:r>
          </w:p>
        </w:tc>
      </w:tr>
      <w:tr>
        <w:trPr>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8278"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市统计局提供符合条件的企业和人员名单，市发改局2020年8月30日之前申报和拨付10家2018年-2019年新增的规上服务业企业和16名数据直报员。2019年度增速靠前且数据报送及时、数据质量高的企业数据直报员奖励资金</w:t>
            </w:r>
          </w:p>
        </w:tc>
      </w:tr>
      <w:tr>
        <w:trPr>
          <w:trHeight w:val="369"/>
        </w:trPr>
        <w:tc>
          <w:tcPr>
            <w:tcW w:w="113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资金支出计划（%）</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3月底</w:t>
            </w:r>
          </w:p>
        </w:tc>
        <w:tc>
          <w:tcPr>
            <w:tcW w:w="1587"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6月底</w:t>
            </w:r>
          </w:p>
        </w:tc>
        <w:tc>
          <w:tcPr>
            <w:tcW w:w="130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10月底</w:t>
            </w:r>
          </w:p>
        </w:tc>
        <w:tc>
          <w:tcPr>
            <w:tcW w:w="297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12月底</w:t>
            </w:r>
          </w:p>
        </w:tc>
      </w:tr>
      <w:tr>
        <w:trPr>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c>
          <w:tcPr>
            <w:tcW w:w="1587"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c>
          <w:tcPr>
            <w:tcW w:w="130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rPr>
          <w:trHeight w:val="369"/>
        </w:trPr>
        <w:tc>
          <w:tcPr>
            <w:tcW w:w="1134" w:type="dxa"/>
            <w:tcBorders>
              <w:top w:val="single" w:sz="6" w:space="0" w:color="000000"/>
              <w:left w:val="single" w:sz="6" w:space="0" w:color="000000"/>
              <w:bottom w:val="nil"/>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top w:val="single" w:sz="6" w:space="0" w:color="000000"/>
              <w:left w:val="single" w:sz="6" w:space="0" w:color="000000"/>
              <w:bottom w:val="nil"/>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1.奖励2家2018年新增的规上服务业企业，鼓励优质企业积极入统。</w:t>
            </w:r>
          </w:p>
          <w:p>
            <w:pPr>
              <w:spacing w:line="300" w:lineRule="exact"/>
              <w:jc w:val="left"/>
              <w:rPr>
                <w:rFonts w:ascii="方正书宋_GBK" w:eastAsia="方正书宋_GBK" w:hint="eastAsia"/>
              </w:rPr>
            </w:pPr>
            <w:r>
              <w:rPr>
                <w:rFonts w:ascii="方正书宋_GBK" w:eastAsia="方正书宋_GBK" w:hint="eastAsia"/>
              </w:rPr>
              <w:t>2.奖励8家2019年新增的规上服务业企业，鼓励优质企业积极入统。</w:t>
            </w:r>
          </w:p>
          <w:p>
            <w:pPr>
              <w:spacing w:line="300" w:lineRule="exact"/>
              <w:jc w:val="left"/>
              <w:rPr>
                <w:rFonts w:ascii="方正书宋_GBK" w:eastAsia="方正书宋_GBK"/>
              </w:rPr>
            </w:pPr>
            <w:r>
              <w:rPr>
                <w:rFonts w:ascii="方正书宋_GBK" w:eastAsia="方正书宋_GBK" w:hint="eastAsia"/>
              </w:rPr>
              <w:t>3.奖励2019年度规上服务业企业数据直报员16人，鼓励直报人员保质保量报送企业数据。</w:t>
            </w:r>
          </w:p>
        </w:tc>
      </w:tr>
    </w:tbl>
    <w:p>
      <w:pPr>
        <w:spacing w:line="14" w:lineRule="exact"/>
        <w:jc w:val="center"/>
        <w:rPr>
          <w:rFonts w:ascii="Times New Roman" w:hAnsi="Times New Roman"/>
        </w:rPr>
      </w:pPr>
      <w:r>
        <w:rPr>
          <w:rFonts w:ascii="方正书宋_GBK" w:eastAsia="方正书宋_GBK"/>
        </w:rPr>
        <w:t xml:space="preserve"> </w:t>
      </w:r>
    </w:p>
    <w:tbl>
      <w:tblPr>
        <w:jc w:val="center"/>
        <w:tblW w:w="94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134"/>
        <w:gridCol w:w="1134"/>
        <w:gridCol w:w="1276"/>
        <w:gridCol w:w="2891"/>
        <w:gridCol w:w="1276"/>
        <w:gridCol w:w="1701"/>
      </w:tblGrid>
      <w:tr>
        <w:trPr>
          <w:cantSplit/>
          <w:trHeight w:val="397"/>
          <w:tblHeader/>
        </w:trPr>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一级指标</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二级指标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三级指标</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指标值</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指标值确定依据</w:t>
            </w:r>
          </w:p>
        </w:tc>
      </w:tr>
      <w:tr>
        <w:trPr>
          <w:cantSplit/>
          <w:trHeight w:val="369"/>
        </w:trPr>
        <w:tc>
          <w:tcPr>
            <w:tcW w:w="113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r>
              <w:rPr>
                <w:rFonts w:ascii="方正书宋_GBK" w:eastAsia="方正书宋_GBK" w:hint="eastAsia"/>
              </w:rPr>
              <w:t>产出指标</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数量指标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奖励的企业单位个数</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符合奖励政策，给予奖励的企业单位数量</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10家</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计划指标</w:t>
            </w:r>
          </w:p>
        </w:tc>
      </w:tr>
      <w:tr>
        <w:trPr>
          <w:cantSplit/>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数量指标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奖励的在统企业数据直报员数量</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符合奖励政策，给予奖励的在统企业数据直报员数量</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16名</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计划指标</w:t>
            </w:r>
          </w:p>
        </w:tc>
      </w:tr>
      <w:tr>
        <w:trPr>
          <w:cantSplit/>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质量指标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拨付比例</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拨付的企业和直报员数量占总数的比率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rPr>
              <w:t>100%</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计划指标</w:t>
            </w:r>
          </w:p>
        </w:tc>
      </w:tr>
      <w:tr>
        <w:trPr>
          <w:cantSplit/>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时效指标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资金支付时间</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资金支付时间不超过3月份</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≤3月份</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计划指标</w:t>
            </w:r>
          </w:p>
        </w:tc>
      </w:tr>
      <w:tr>
        <w:trPr>
          <w:cantSplit/>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成本指标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奖励资金预算控制数</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奖励企业和直报员的资金</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10.8万元</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计划指标</w:t>
            </w:r>
          </w:p>
        </w:tc>
      </w:tr>
      <w:tr>
        <w:trPr>
          <w:cantSplit/>
          <w:trHeight w:val="369"/>
        </w:trPr>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hint="eastAsia"/>
              </w:rPr>
            </w:pPr>
            <w:r>
              <w:rPr>
                <w:rFonts w:ascii="方正书宋_GBK" w:eastAsia="方正书宋_GBK" w:hint="eastAsia"/>
              </w:rPr>
              <w:t>效益指标</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社会效益指标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规模以上服务业企业入统</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吸引和鼓励规模以上服务业企业入统，做好企业培育工作</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积极推动</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历史数据</w:t>
            </w:r>
          </w:p>
        </w:tc>
      </w:tr>
      <w:tr>
        <w:trPr>
          <w:cantSplit/>
          <w:trHeight w:val="369"/>
        </w:trPr>
        <w:tc>
          <w:tcPr>
            <w:tcW w:w="113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hint="eastAsia"/>
              </w:rPr>
            </w:pPr>
            <w:r>
              <w:rPr>
                <w:rFonts w:ascii="方正书宋_GBK" w:eastAsia="方正书宋_GBK" w:hint="eastAsia"/>
              </w:rPr>
              <w:t>满意度指标</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服务对象满意度指标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补贴企业满意度</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受奖励的企业对资金的满意度</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≥90%</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调查问卷</w:t>
            </w:r>
          </w:p>
        </w:tc>
      </w:tr>
      <w:tr>
        <w:trPr>
          <w:cantSplit/>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服务对象满意度指标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补贴直报员满意度</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受奖励的直报员对资金的满意度</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≥90%</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调查问卷</w:t>
            </w:r>
          </w:p>
        </w:tc>
      </w:tr>
    </w:tbl>
    <w:p>
      <w:pPr>
        <w:spacing w:line="300" w:lineRule="exact"/>
        <w:jc w:val="left"/>
        <w:sectPr>
          <w:pgSz w:w="11907" w:h="16839"/>
          <w:pgMar w:top="1984" w:right="1304" w:bottom="1134" w:left="1304" w:header="851" w:footer="992" w:gutter="0"/>
          <w:docGrid w:type="lines" w:linePitch="312" w:charSpace="0"/>
        </w:sectPr>
      </w:pPr>
    </w:p>
    <w:p>
      <w:pPr>
        <w:spacing w:line="500" w:lineRule="exact"/>
        <w:jc w:val="left"/>
        <w:rPr>
          <w:rFonts w:ascii="Times New Roman" w:eastAsia="方正仿宋_GBK" w:hAnsi="Times New Roman"/>
          <w:sz w:val="28"/>
        </w:rPr>
      </w:pPr>
    </w:p>
    <w:p>
      <w:pPr>
        <w:rPr>
          <w:rFonts w:ascii="仿宋_GB2312" w:eastAsia="仿宋_GB2312" w:cs="Times New Roman"/>
          <w:color w:val="000000"/>
          <w:sz w:val="32"/>
          <w:szCs w:val="32"/>
        </w:rPr>
      </w:pPr>
    </w:p>
    <w:p>
      <w:pPr>
        <w:ind w:firstLineChars="200" w:firstLine="640"/>
        <w:rPr>
          <w:rFonts w:ascii="黑体" w:eastAsia="黑体" w:cs="Times New Roman"/>
          <w:sz w:val="32"/>
          <w:szCs w:val="32"/>
        </w:rPr>
      </w:pPr>
      <w:r>
        <w:rPr>
          <w:rFonts w:ascii="黑体" w:eastAsia="黑体" w:cs="Times New Roman" w:hint="eastAsia"/>
          <w:sz w:val="32"/>
          <w:szCs w:val="32"/>
        </w:rPr>
        <w:t>六、政府采购预算情况</w:t>
      </w:r>
    </w:p>
    <w:p>
      <w:pPr>
        <w:ind w:firstLineChars="200" w:firstLine="640"/>
        <w:rPr>
          <w:rFonts w:ascii="仿宋_GB2312" w:eastAsia="仿宋_GB2312" w:cs="Times New Roman"/>
          <w:color w:val="000000"/>
          <w:sz w:val="32"/>
          <w:szCs w:val="32"/>
        </w:rPr>
      </w:pPr>
      <w:bookmarkStart w:id="23" w:name="_Toc471398468"/>
      <w:r>
        <w:rPr>
          <w:rFonts w:ascii="仿宋_GB2312" w:eastAsia="仿宋_GB2312" w:cs="Times New Roman" w:hint="eastAsia"/>
          <w:color w:val="000000"/>
          <w:sz w:val="32"/>
          <w:szCs w:val="32"/>
        </w:rPr>
        <w:t>20</w:t>
      </w:r>
      <w:r>
        <w:rPr>
          <w:rFonts w:ascii="仿宋_GB2312" w:eastAsia="仿宋_GB2312" w:cs="Times New Roman"/>
          <w:color w:val="000000"/>
          <w:sz w:val="32"/>
          <w:szCs w:val="32"/>
        </w:rPr>
        <w:t>2</w:t>
      </w:r>
      <w:r>
        <w:rPr>
          <w:rFonts w:ascii="仿宋_GB2312" w:eastAsia="仿宋_GB2312" w:cs="Times New Roman" w:hint="eastAsia"/>
          <w:color w:val="000000"/>
          <w:sz w:val="32"/>
          <w:szCs w:val="32"/>
          <w:lang w:val="en-US" w:eastAsia="zh-CN"/>
        </w:rPr>
        <w:t>1</w:t>
      </w:r>
      <w:r>
        <w:rPr>
          <w:rFonts w:ascii="仿宋_GB2312" w:eastAsia="仿宋_GB2312" w:cs="Times New Roman" w:hint="eastAsia"/>
          <w:color w:val="000000"/>
          <w:sz w:val="32"/>
          <w:szCs w:val="32"/>
        </w:rPr>
        <w:t>年，我部门安排政府采购预算</w:t>
      </w:r>
      <w:r>
        <w:rPr>
          <w:rFonts w:ascii="仿宋_GB2312" w:eastAsia="仿宋_GB2312" w:cs="Times New Roman" w:hint="eastAsia"/>
          <w:color w:val="000000"/>
          <w:sz w:val="32"/>
          <w:szCs w:val="32"/>
          <w:lang w:val="en-US" w:eastAsia="zh-CN"/>
        </w:rPr>
        <w:t>643</w:t>
      </w:r>
      <w:r>
        <w:rPr>
          <w:rFonts w:ascii="仿宋_GB2312" w:eastAsia="仿宋_GB2312" w:cs="Times New Roman" w:hint="eastAsia"/>
          <w:color w:val="000000"/>
          <w:sz w:val="32"/>
          <w:szCs w:val="32"/>
        </w:rPr>
        <w:t>万元。具体内容见下表。</w:t>
      </w:r>
    </w:p>
    <w:p>
      <w:pPr>
        <w:jc w:val="center"/>
        <w:outlineLvl w:val="0"/>
        <w:rPr>
          <w:rFonts w:ascii="方正小标宋_GBK" w:eastAsia="方正小标宋_GBK" w:cs="Times New Roman"/>
          <w:sz w:val="32"/>
          <w:szCs w:val="24"/>
        </w:rPr>
      </w:pPr>
      <w:r>
        <w:rPr>
          <w:rFonts w:ascii="方正小标宋_GBK" w:eastAsia="方正小标宋_GBK" w:cs="Times New Roman" w:hint="eastAsia"/>
          <w:sz w:val="32"/>
          <w:szCs w:val="24"/>
        </w:rPr>
        <w:t>部门政府采购预算</w:t>
      </w:r>
      <w:bookmarkEnd w:id="23"/>
    </w:p>
    <w:tbl>
      <w:tblPr>
        <w:jc w:val="center"/>
        <w:tblW w:w="141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2390"/>
        <w:gridCol w:w="1068"/>
        <w:gridCol w:w="1137"/>
        <w:gridCol w:w="1140"/>
        <w:gridCol w:w="794"/>
        <w:gridCol w:w="962"/>
        <w:gridCol w:w="904"/>
        <w:gridCol w:w="898"/>
        <w:gridCol w:w="898"/>
        <w:gridCol w:w="898"/>
        <w:gridCol w:w="720"/>
        <w:gridCol w:w="980"/>
        <w:gridCol w:w="884"/>
        <w:gridCol w:w="490"/>
      </w:tblGrid>
      <w:tr>
        <w:trPr>
          <w:tblHeader/>
        </w:trPr>
        <w:tc>
          <w:tcPr>
            <w:tcW w:w="8395" w:type="dxa"/>
            <w:gridSpan w:val="7"/>
            <w:tcBorders>
              <w:top w:val="single" w:sz="6" w:space="0" w:color="FFFFFF"/>
              <w:left w:val="single" w:sz="6" w:space="0" w:color="FFFFFF"/>
              <w:bottom w:val="single" w:sz="6" w:space="0" w:color="000000"/>
              <w:right w:val="single" w:sz="6" w:space="0" w:color="FFFFFF"/>
            </w:tcBorders>
            <w:shd w:val="clear" w:color="auto" w:fill="auto"/>
            <w:vAlign w:val="center"/>
          </w:tcPr>
          <w:p>
            <w:pPr>
              <w:spacing w:line="300" w:lineRule="exact"/>
              <w:jc w:val="left"/>
              <w:rPr>
                <w:rFonts w:ascii="方正小标宋_GBK" w:eastAsia="方正小标宋_GBK" w:cs="Times New Roman" w:hint="eastAsia"/>
                <w:sz w:val="24"/>
                <w:szCs w:val="24"/>
                <w:lang w:val="en-US" w:eastAsia="zh-CN"/>
              </w:rPr>
            </w:pPr>
            <w:r>
              <w:rPr>
                <w:rFonts w:ascii="方正小标宋_GBK" w:eastAsia="方正小标宋_GBK" w:cs="Times New Roman" w:hint="eastAsia"/>
                <w:sz w:val="18"/>
                <w:szCs w:val="18"/>
                <w:lang w:val="en-US" w:eastAsia="zh-CN"/>
              </w:rPr>
              <w:t>810</w:t>
            </w:r>
            <w:r>
              <w:rPr>
                <w:rFonts w:ascii="方正小标宋_GBK" w:eastAsia="方正小标宋_GBK" w:cs="Times New Roman" w:hint="eastAsia"/>
                <w:sz w:val="18"/>
                <w:szCs w:val="18"/>
              </w:rPr>
              <w:t>霸州市</w:t>
            </w:r>
            <w:r>
              <w:rPr>
                <w:rFonts w:ascii="方正小标宋_GBK" w:eastAsia="方正小标宋_GBK" w:cs="Times New Roman" w:hint="eastAsia"/>
                <w:sz w:val="18"/>
                <w:szCs w:val="18"/>
                <w:lang w:val="en-US" w:eastAsia="zh-CN"/>
              </w:rPr>
              <w:t>发展和改革局</w:t>
            </w:r>
          </w:p>
        </w:tc>
        <w:tc>
          <w:tcPr>
            <w:tcW w:w="5768" w:type="dxa"/>
            <w:gridSpan w:val="7"/>
            <w:tcBorders>
              <w:top w:val="single" w:sz="6" w:space="0" w:color="FFFFFF"/>
              <w:left w:val="single" w:sz="6" w:space="0" w:color="FFFFFF"/>
              <w:bottom w:val="single" w:sz="6" w:space="0" w:color="000000"/>
              <w:right w:val="single" w:sz="6" w:space="0" w:color="FFFFFF"/>
            </w:tcBorders>
            <w:shd w:val="clear" w:color="auto" w:fill="auto"/>
            <w:vAlign w:val="center"/>
          </w:tcPr>
          <w:p>
            <w:pPr>
              <w:spacing w:line="300" w:lineRule="exact"/>
              <w:jc w:val="right"/>
              <w:rPr>
                <w:rFonts w:ascii="方正小标宋_GBK" w:eastAsia="方正小标宋_GBK" w:cs="Times New Roman"/>
                <w:sz w:val="18"/>
                <w:szCs w:val="18"/>
              </w:rPr>
            </w:pPr>
            <w:r>
              <w:rPr>
                <w:rFonts w:ascii="方正小标宋_GBK" w:eastAsia="方正小标宋_GBK" w:cs="Times New Roman" w:hint="eastAsia"/>
                <w:sz w:val="18"/>
                <w:szCs w:val="18"/>
              </w:rPr>
              <w:t>单位：万元</w:t>
            </w:r>
          </w:p>
        </w:tc>
      </w:tr>
      <w:tr>
        <w:trPr>
          <w:tblHeader/>
        </w:trPr>
        <w:tc>
          <w:tcPr>
            <w:tcW w:w="345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cs="Times New Roman"/>
                <w:b/>
                <w:szCs w:val="24"/>
              </w:rPr>
            </w:pPr>
            <w:r>
              <w:rPr>
                <w:rFonts w:ascii="方正书宋_GBK" w:eastAsia="方正书宋_GBK" w:cs="Times New Roman" w:hint="eastAsia"/>
                <w:b/>
                <w:szCs w:val="24"/>
              </w:rPr>
              <w:t>政府采购项目来源</w:t>
            </w:r>
          </w:p>
        </w:tc>
        <w:tc>
          <w:tcPr>
            <w:tcW w:w="1137"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cs="Times New Roman"/>
                <w:b/>
                <w:szCs w:val="24"/>
              </w:rPr>
            </w:pPr>
            <w:r>
              <w:rPr>
                <w:rFonts w:ascii="方正书宋_GBK" w:eastAsia="方正书宋_GBK" w:cs="Times New Roman" w:hint="eastAsia"/>
                <w:b/>
                <w:szCs w:val="24"/>
              </w:rPr>
              <w:t>采购物品名称</w:t>
            </w:r>
          </w:p>
        </w:tc>
        <w:tc>
          <w:tcPr>
            <w:tcW w:w="114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cs="Times New Roman"/>
                <w:b/>
                <w:szCs w:val="24"/>
              </w:rPr>
            </w:pPr>
            <w:r>
              <w:rPr>
                <w:rFonts w:ascii="方正书宋_GBK" w:eastAsia="方正书宋_GBK" w:cs="Times New Roman" w:hint="eastAsia"/>
                <w:b/>
                <w:szCs w:val="24"/>
              </w:rPr>
              <w:t>政府采购目录序号</w:t>
            </w:r>
          </w:p>
        </w:tc>
        <w:tc>
          <w:tcPr>
            <w:tcW w:w="79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cs="Times New Roman"/>
                <w:b/>
                <w:szCs w:val="24"/>
              </w:rPr>
            </w:pPr>
            <w:r>
              <w:rPr>
                <w:rFonts w:ascii="方正书宋_GBK" w:eastAsia="方正书宋_GBK" w:cs="Times New Roman" w:hint="eastAsia"/>
                <w:b/>
                <w:szCs w:val="24"/>
              </w:rPr>
              <w:t>数量  单位</w:t>
            </w:r>
          </w:p>
        </w:tc>
        <w:tc>
          <w:tcPr>
            <w:tcW w:w="962"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cs="Times New Roman"/>
                <w:b/>
                <w:szCs w:val="24"/>
              </w:rPr>
            </w:pPr>
            <w:r>
              <w:rPr>
                <w:rFonts w:ascii="方正书宋_GBK" w:eastAsia="方正书宋_GBK" w:cs="Times New Roman" w:hint="eastAsia"/>
                <w:b/>
                <w:szCs w:val="24"/>
              </w:rPr>
              <w:t>数量</w:t>
            </w:r>
          </w:p>
        </w:tc>
        <w:tc>
          <w:tcPr>
            <w:tcW w:w="90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cs="Times New Roman"/>
                <w:b/>
                <w:szCs w:val="24"/>
              </w:rPr>
            </w:pPr>
            <w:r>
              <w:rPr>
                <w:rFonts w:ascii="方正书宋_GBK" w:eastAsia="方正书宋_GBK" w:cs="Times New Roman" w:hint="eastAsia"/>
                <w:b/>
                <w:szCs w:val="24"/>
              </w:rPr>
              <w:t>单价</w:t>
            </w:r>
          </w:p>
        </w:tc>
        <w:tc>
          <w:tcPr>
            <w:tcW w:w="5768" w:type="dxa"/>
            <w:gridSpan w:val="7"/>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cs="Times New Roman"/>
                <w:b/>
                <w:szCs w:val="24"/>
              </w:rPr>
            </w:pPr>
            <w:r>
              <w:rPr>
                <w:rFonts w:ascii="方正书宋_GBK" w:eastAsia="方正书宋_GBK" w:cs="Times New Roman" w:hint="eastAsia"/>
                <w:b/>
                <w:szCs w:val="24"/>
              </w:rPr>
              <w:t>政府采购金额</w:t>
            </w:r>
          </w:p>
        </w:tc>
      </w:tr>
      <w:tr>
        <w:trPr>
          <w:tblHeader/>
        </w:trPr>
        <w:tc>
          <w:tcPr>
            <w:tcW w:w="239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cs="Times New Roman"/>
                <w:b/>
                <w:szCs w:val="24"/>
              </w:rPr>
            </w:pPr>
            <w:r>
              <w:rPr>
                <w:rFonts w:ascii="方正书宋_GBK" w:eastAsia="方正书宋_GBK" w:cs="Times New Roman" w:hint="eastAsia"/>
                <w:b/>
                <w:szCs w:val="24"/>
              </w:rPr>
              <w:t>项目名称</w:t>
            </w:r>
          </w:p>
        </w:tc>
        <w:tc>
          <w:tcPr>
            <w:tcW w:w="1068"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cs="Times New Roman"/>
                <w:b/>
                <w:szCs w:val="24"/>
              </w:rPr>
            </w:pPr>
            <w:r>
              <w:rPr>
                <w:rFonts w:ascii="方正书宋_GBK" w:eastAsia="方正书宋_GBK" w:cs="Times New Roman" w:hint="eastAsia"/>
                <w:b/>
                <w:szCs w:val="24"/>
              </w:rPr>
              <w:t>预算资金</w:t>
            </w:r>
          </w:p>
        </w:tc>
        <w:tc>
          <w:tcPr>
            <w:tcW w:w="1137"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114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79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962"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90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898"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cs="Times New Roman"/>
                <w:b/>
                <w:szCs w:val="24"/>
              </w:rPr>
            </w:pPr>
            <w:r>
              <w:rPr>
                <w:rFonts w:ascii="方正书宋_GBK" w:eastAsia="方正书宋_GBK" w:cs="Times New Roman" w:hint="eastAsia"/>
                <w:b/>
                <w:szCs w:val="24"/>
              </w:rPr>
              <w:t>总计</w:t>
            </w:r>
          </w:p>
        </w:tc>
        <w:tc>
          <w:tcPr>
            <w:tcW w:w="4380"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cs="Times New Roman"/>
                <w:b/>
                <w:szCs w:val="24"/>
              </w:rPr>
            </w:pPr>
            <w:r>
              <w:rPr>
                <w:rFonts w:ascii="方正书宋_GBK" w:eastAsia="方正书宋_GBK" w:cs="Times New Roman" w:hint="eastAsia"/>
                <w:b/>
                <w:szCs w:val="24"/>
              </w:rPr>
              <w:t>当年部门预算安排资金</w:t>
            </w:r>
          </w:p>
        </w:tc>
        <w:tc>
          <w:tcPr>
            <w:tcW w:w="49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cs="Times New Roman"/>
                <w:b/>
                <w:szCs w:val="24"/>
              </w:rPr>
            </w:pPr>
            <w:r>
              <w:rPr>
                <w:rFonts w:ascii="方正书宋_GBK" w:eastAsia="方正书宋_GBK" w:cs="Times New Roman" w:hint="eastAsia"/>
                <w:b/>
                <w:szCs w:val="24"/>
              </w:rPr>
              <w:t>其他渠道资金</w:t>
            </w:r>
          </w:p>
        </w:tc>
      </w:tr>
      <w:tr>
        <w:trPr>
          <w:trHeight w:val="1190"/>
          <w:tblHeader/>
        </w:trPr>
        <w:tc>
          <w:tcPr>
            <w:tcW w:w="239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1068"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1137"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114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79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962"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90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898"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898"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cs="Times New Roman"/>
                <w:b/>
                <w:szCs w:val="24"/>
              </w:rPr>
            </w:pPr>
            <w:r>
              <w:rPr>
                <w:rFonts w:ascii="方正书宋_GBK" w:eastAsia="方正书宋_GBK" w:cs="Times New Roman" w:hint="eastAsia"/>
                <w:b/>
                <w:szCs w:val="24"/>
              </w:rPr>
              <w:t>合计</w:t>
            </w:r>
          </w:p>
        </w:tc>
        <w:tc>
          <w:tcPr>
            <w:tcW w:w="898"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cs="Times New Roman"/>
                <w:b/>
                <w:szCs w:val="24"/>
              </w:rPr>
            </w:pPr>
            <w:r>
              <w:rPr>
                <w:rFonts w:ascii="方正书宋_GBK" w:eastAsia="方正书宋_GBK" w:cs="Times New Roman" w:hint="eastAsia"/>
                <w:b/>
                <w:szCs w:val="24"/>
              </w:rPr>
              <w:t>一般公共预算拨款</w:t>
            </w: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cs="Times New Roman"/>
                <w:b/>
                <w:szCs w:val="24"/>
              </w:rPr>
            </w:pPr>
            <w:r>
              <w:rPr>
                <w:rFonts w:ascii="方正书宋_GBK" w:eastAsia="方正书宋_GBK" w:cs="Times New Roman" w:hint="eastAsia"/>
                <w:b/>
                <w:szCs w:val="24"/>
              </w:rPr>
              <w:t>基金预算拨款</w:t>
            </w:r>
          </w:p>
        </w:tc>
        <w:tc>
          <w:tcPr>
            <w:tcW w:w="980"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cs="Times New Roman"/>
                <w:b/>
                <w:szCs w:val="24"/>
              </w:rPr>
            </w:pPr>
            <w:r>
              <w:rPr>
                <w:rFonts w:ascii="方正书宋_GBK" w:eastAsia="方正书宋_GBK" w:cs="Times New Roman" w:hint="eastAsia"/>
                <w:b/>
                <w:szCs w:val="24"/>
              </w:rPr>
              <w:t>财政专户核拨</w:t>
            </w:r>
          </w:p>
        </w:tc>
        <w:tc>
          <w:tcPr>
            <w:tcW w:w="88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cs="Times New Roman"/>
                <w:b/>
                <w:szCs w:val="24"/>
              </w:rPr>
            </w:pPr>
            <w:r>
              <w:rPr>
                <w:rFonts w:ascii="方正书宋_GBK" w:eastAsia="方正书宋_GBK" w:cs="Times New Roman" w:hint="eastAsia"/>
                <w:b/>
                <w:szCs w:val="24"/>
              </w:rPr>
              <w:t>其他来源收入</w:t>
            </w:r>
          </w:p>
        </w:tc>
        <w:tc>
          <w:tcPr>
            <w:tcW w:w="49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r>
      <w:tr>
        <w:tc>
          <w:tcPr>
            <w:tcW w:w="2390"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cs="Times New Roman"/>
                <w:b/>
                <w:szCs w:val="24"/>
              </w:rPr>
            </w:pPr>
            <w:r>
              <w:rPr>
                <w:rFonts w:ascii="方正书宋_GBK" w:eastAsia="方正书宋_GBK" w:cs="Times New Roman" w:hint="eastAsia"/>
                <w:b/>
                <w:szCs w:val="24"/>
              </w:rPr>
              <w:t>合　计</w:t>
            </w:r>
          </w:p>
        </w:tc>
        <w:tc>
          <w:tcPr>
            <w:tcW w:w="1068"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right"/>
              <w:rPr>
                <w:rFonts w:ascii="方正书宋_GBK" w:eastAsia="方正书宋_GBK" w:cs="Times New Roman"/>
                <w:b/>
                <w:szCs w:val="24"/>
              </w:rPr>
            </w:pPr>
          </w:p>
        </w:tc>
        <w:tc>
          <w:tcPr>
            <w:tcW w:w="1137"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cs="Times New Roman"/>
                <w:b/>
                <w:szCs w:val="24"/>
              </w:rPr>
            </w:pPr>
          </w:p>
        </w:tc>
        <w:tc>
          <w:tcPr>
            <w:tcW w:w="1140"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cs="Times New Roman"/>
                <w:b/>
                <w:szCs w:val="24"/>
              </w:rPr>
            </w:pPr>
          </w:p>
        </w:tc>
        <w:tc>
          <w:tcPr>
            <w:tcW w:w="79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cs="Times New Roman"/>
                <w:b/>
                <w:szCs w:val="24"/>
              </w:rPr>
            </w:pPr>
          </w:p>
        </w:tc>
        <w:tc>
          <w:tcPr>
            <w:tcW w:w="962"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right"/>
              <w:rPr>
                <w:rFonts w:ascii="方正书宋_GBK" w:eastAsia="方正书宋_GBK" w:cs="Times New Roman"/>
                <w:b/>
                <w:szCs w:val="24"/>
              </w:rPr>
            </w:pPr>
          </w:p>
        </w:tc>
        <w:tc>
          <w:tcPr>
            <w:tcW w:w="90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right"/>
              <w:rPr>
                <w:rFonts w:ascii="方正书宋_GBK" w:eastAsia="方正书宋_GBK" w:cs="Times New Roman" w:hint="eastAsia"/>
                <w:b/>
                <w:sz w:val="18"/>
                <w:szCs w:val="18"/>
                <w:lang w:val="en-US" w:eastAsia="zh-CN"/>
              </w:rPr>
            </w:pPr>
            <w:r>
              <w:rPr>
                <w:rFonts w:ascii="方正书宋_GBK" w:eastAsia="方正书宋_GBK" w:cs="Times New Roman" w:hint="eastAsia"/>
                <w:b/>
                <w:sz w:val="18"/>
                <w:szCs w:val="18"/>
                <w:lang w:val="en-US" w:eastAsia="zh-CN"/>
              </w:rPr>
              <w:t>643</w:t>
            </w:r>
          </w:p>
        </w:tc>
        <w:tc>
          <w:tcPr>
            <w:tcW w:w="898"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right"/>
              <w:rPr>
                <w:rFonts w:ascii="方正书宋_GBK" w:eastAsia="方正书宋_GBK" w:cs="Times New Roman" w:hint="eastAsia"/>
                <w:b/>
                <w:sz w:val="18"/>
                <w:szCs w:val="18"/>
                <w:lang w:val="en-US" w:eastAsia="zh-CN"/>
              </w:rPr>
            </w:pPr>
            <w:r>
              <w:rPr>
                <w:rFonts w:ascii="方正书宋_GBK" w:eastAsia="方正书宋_GBK" w:cs="Times New Roman" w:hint="eastAsia"/>
                <w:b/>
                <w:sz w:val="18"/>
                <w:szCs w:val="18"/>
                <w:lang w:val="en-US" w:eastAsia="zh-CN"/>
              </w:rPr>
              <w:t>643</w:t>
            </w:r>
          </w:p>
        </w:tc>
        <w:tc>
          <w:tcPr>
            <w:tcW w:w="898"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right"/>
              <w:rPr>
                <w:rFonts w:ascii="方正书宋_GBK" w:eastAsia="方正书宋_GBK" w:cs="Times New Roman" w:hint="eastAsia"/>
                <w:b/>
                <w:sz w:val="18"/>
                <w:szCs w:val="18"/>
                <w:lang w:val="en-US" w:eastAsia="zh-CN"/>
              </w:rPr>
            </w:pPr>
            <w:r>
              <w:rPr>
                <w:rFonts w:ascii="方正书宋_GBK" w:eastAsia="方正书宋_GBK" w:cs="Times New Roman" w:hint="eastAsia"/>
                <w:b/>
                <w:sz w:val="18"/>
                <w:szCs w:val="18"/>
                <w:lang w:val="en-US" w:eastAsia="zh-CN"/>
              </w:rPr>
              <w:t>643</w:t>
            </w:r>
          </w:p>
        </w:tc>
        <w:tc>
          <w:tcPr>
            <w:tcW w:w="898"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right"/>
              <w:rPr>
                <w:rFonts w:ascii="方正书宋_GBK" w:eastAsia="方正书宋_GBK" w:cs="Times New Roman" w:hint="eastAsia"/>
                <w:b/>
                <w:sz w:val="18"/>
                <w:szCs w:val="18"/>
                <w:lang w:val="en-US" w:eastAsia="zh-CN"/>
              </w:rPr>
            </w:pPr>
            <w:r>
              <w:rPr>
                <w:rFonts w:ascii="方正书宋_GBK" w:eastAsia="方正书宋_GBK" w:cs="Times New Roman" w:hint="eastAsia"/>
                <w:b/>
                <w:sz w:val="18"/>
                <w:szCs w:val="18"/>
                <w:lang w:val="en-US" w:eastAsia="zh-CN"/>
              </w:rPr>
              <w:t>143</w:t>
            </w: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right"/>
              <w:rPr>
                <w:rFonts w:ascii="方正书宋_GBK" w:eastAsia="方正书宋_GBK" w:cs="Times New Roman" w:hint="eastAsia"/>
                <w:b/>
                <w:sz w:val="18"/>
                <w:szCs w:val="18"/>
                <w:lang w:val="en-US" w:eastAsia="zh-CN"/>
              </w:rPr>
            </w:pPr>
            <w:r>
              <w:rPr>
                <w:rFonts w:ascii="方正书宋_GBK" w:eastAsia="方正书宋_GBK" w:cs="Times New Roman" w:hint="eastAsia"/>
                <w:b/>
                <w:sz w:val="18"/>
                <w:szCs w:val="18"/>
                <w:lang w:val="en-US" w:eastAsia="zh-CN"/>
              </w:rPr>
              <w:t>500</w:t>
            </w:r>
          </w:p>
        </w:tc>
        <w:tc>
          <w:tcPr>
            <w:tcW w:w="980"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right"/>
              <w:rPr>
                <w:rFonts w:ascii="方正书宋_GBK" w:eastAsia="方正书宋_GBK" w:cs="Times New Roman"/>
                <w:b/>
                <w:szCs w:val="24"/>
              </w:rPr>
            </w:pPr>
          </w:p>
        </w:tc>
        <w:tc>
          <w:tcPr>
            <w:tcW w:w="88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right"/>
              <w:rPr>
                <w:rFonts w:ascii="方正书宋_GBK" w:eastAsia="方正书宋_GBK" w:cs="Times New Roman"/>
                <w:b/>
                <w:szCs w:val="24"/>
              </w:rPr>
            </w:pPr>
          </w:p>
        </w:tc>
        <w:tc>
          <w:tcPr>
            <w:tcW w:w="490"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right"/>
              <w:rPr>
                <w:rFonts w:ascii="方正书宋_GBK" w:eastAsia="方正书宋_GBK" w:cs="Times New Roman"/>
                <w:b/>
                <w:szCs w:val="24"/>
              </w:rPr>
            </w:pPr>
          </w:p>
        </w:tc>
      </w:tr>
      <w:tr>
        <w:tc>
          <w:tcPr>
            <w:tcW w:w="2390"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cs="Times New Roman" w:hint="eastAsia"/>
                <w:b/>
                <w:sz w:val="18"/>
                <w:szCs w:val="18"/>
                <w:lang w:val="en-US" w:eastAsia="zh-CN"/>
              </w:rPr>
            </w:pPr>
            <w:r>
              <w:rPr>
                <w:rFonts w:ascii="方正书宋_GBK" w:eastAsia="方正书宋_GBK" w:cs="Times New Roman" w:hint="eastAsia"/>
                <w:b/>
                <w:sz w:val="18"/>
                <w:szCs w:val="18"/>
                <w:lang w:val="en-US" w:eastAsia="zh-CN"/>
              </w:rPr>
              <w:t>项目评估论证费</w:t>
            </w:r>
          </w:p>
        </w:tc>
        <w:tc>
          <w:tcPr>
            <w:tcW w:w="1068"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right"/>
              <w:rPr>
                <w:rFonts w:ascii="方正书宋_GBK" w:eastAsia="方正书宋_GBK" w:cs="Times New Roman" w:hint="eastAsia"/>
                <w:b/>
                <w:sz w:val="18"/>
                <w:szCs w:val="18"/>
                <w:lang w:val="en-US" w:eastAsia="zh-CN"/>
              </w:rPr>
            </w:pPr>
            <w:r>
              <w:rPr>
                <w:rFonts w:ascii="方正书宋_GBK" w:eastAsia="方正书宋_GBK" w:cs="Times New Roman" w:hint="eastAsia"/>
                <w:b/>
                <w:sz w:val="18"/>
                <w:szCs w:val="18"/>
                <w:lang w:val="en-US" w:eastAsia="zh-CN"/>
              </w:rPr>
              <w:t>140</w:t>
            </w:r>
          </w:p>
        </w:tc>
        <w:tc>
          <w:tcPr>
            <w:tcW w:w="1137"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cs="Times New Roman" w:hint="eastAsia"/>
                <w:b/>
                <w:sz w:val="18"/>
                <w:szCs w:val="18"/>
                <w:lang w:val="en-US" w:eastAsia="zh-CN"/>
              </w:rPr>
            </w:pPr>
            <w:r>
              <w:rPr>
                <w:rFonts w:ascii="方正书宋_GBK" w:eastAsia="方正书宋_GBK" w:cs="Times New Roman" w:hint="eastAsia"/>
                <w:b/>
                <w:sz w:val="18"/>
                <w:szCs w:val="18"/>
                <w:lang w:val="en-US" w:eastAsia="zh-CN"/>
              </w:rPr>
              <w:t>其他服务</w:t>
            </w:r>
          </w:p>
        </w:tc>
        <w:tc>
          <w:tcPr>
            <w:tcW w:w="1140"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cs="Times New Roman" w:hint="eastAsia"/>
                <w:b/>
                <w:sz w:val="18"/>
                <w:szCs w:val="18"/>
                <w:lang w:val="en-US" w:eastAsia="zh-CN"/>
              </w:rPr>
            </w:pPr>
          </w:p>
        </w:tc>
        <w:tc>
          <w:tcPr>
            <w:tcW w:w="79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cs="Times New Roman" w:hint="eastAsia"/>
                <w:b/>
                <w:sz w:val="18"/>
                <w:szCs w:val="18"/>
                <w:lang w:val="en-US" w:eastAsia="zh-CN"/>
              </w:rPr>
            </w:pPr>
          </w:p>
        </w:tc>
        <w:tc>
          <w:tcPr>
            <w:tcW w:w="962"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right"/>
              <w:rPr>
                <w:rFonts w:ascii="方正书宋_GBK" w:eastAsia="方正书宋_GBK" w:cs="Times New Roman" w:hint="eastAsia"/>
                <w:b/>
                <w:sz w:val="18"/>
                <w:szCs w:val="18"/>
                <w:lang w:val="en-US" w:eastAsia="zh-CN"/>
              </w:rPr>
            </w:pPr>
          </w:p>
        </w:tc>
        <w:tc>
          <w:tcPr>
            <w:tcW w:w="90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right"/>
              <w:rPr>
                <w:rFonts w:ascii="方正书宋_GBK" w:eastAsia="方正书宋_GBK" w:cs="Times New Roman" w:hint="eastAsia"/>
                <w:b/>
                <w:sz w:val="18"/>
                <w:szCs w:val="18"/>
                <w:lang w:val="en-US" w:eastAsia="zh-CN"/>
              </w:rPr>
            </w:pPr>
            <w:r>
              <w:rPr>
                <w:rFonts w:ascii="方正书宋_GBK" w:eastAsia="方正书宋_GBK" w:cs="Times New Roman" w:hint="eastAsia"/>
                <w:b/>
                <w:sz w:val="18"/>
                <w:szCs w:val="18"/>
                <w:lang w:val="en-US" w:eastAsia="zh-CN"/>
              </w:rPr>
              <w:t>140</w:t>
            </w:r>
          </w:p>
        </w:tc>
        <w:tc>
          <w:tcPr>
            <w:tcW w:w="898"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right"/>
              <w:rPr>
                <w:rFonts w:ascii="方正书宋_GBK" w:eastAsia="方正书宋_GBK" w:cs="Times New Roman" w:hint="eastAsia"/>
                <w:b/>
                <w:sz w:val="18"/>
                <w:szCs w:val="18"/>
                <w:lang w:val="en-US" w:eastAsia="zh-CN"/>
              </w:rPr>
            </w:pPr>
            <w:r>
              <w:rPr>
                <w:rFonts w:ascii="方正书宋_GBK" w:eastAsia="方正书宋_GBK" w:cs="Times New Roman" w:hint="eastAsia"/>
                <w:b/>
                <w:sz w:val="18"/>
                <w:szCs w:val="18"/>
                <w:lang w:val="en-US" w:eastAsia="zh-CN"/>
              </w:rPr>
              <w:t>140</w:t>
            </w:r>
          </w:p>
        </w:tc>
        <w:tc>
          <w:tcPr>
            <w:tcW w:w="898"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right"/>
              <w:rPr>
                <w:rFonts w:ascii="方正书宋_GBK" w:eastAsia="方正书宋_GBK" w:cs="Times New Roman" w:hint="eastAsia"/>
                <w:b/>
                <w:sz w:val="18"/>
                <w:szCs w:val="18"/>
                <w:lang w:val="en-US" w:eastAsia="zh-CN"/>
              </w:rPr>
            </w:pPr>
            <w:r>
              <w:rPr>
                <w:rFonts w:ascii="方正书宋_GBK" w:eastAsia="方正书宋_GBK" w:cs="Times New Roman" w:hint="eastAsia"/>
                <w:b/>
                <w:sz w:val="18"/>
                <w:szCs w:val="18"/>
                <w:lang w:val="en-US" w:eastAsia="zh-CN"/>
              </w:rPr>
              <w:t>140</w:t>
            </w:r>
          </w:p>
        </w:tc>
        <w:tc>
          <w:tcPr>
            <w:tcW w:w="898"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right"/>
              <w:rPr>
                <w:rFonts w:ascii="方正书宋_GBK" w:eastAsia="方正书宋_GBK" w:cs="Times New Roman" w:hint="eastAsia"/>
                <w:b/>
                <w:sz w:val="18"/>
                <w:szCs w:val="18"/>
                <w:lang w:val="en-US" w:eastAsia="zh-CN"/>
              </w:rPr>
            </w:pPr>
            <w:r>
              <w:rPr>
                <w:rFonts w:ascii="方正书宋_GBK" w:eastAsia="方正书宋_GBK" w:cs="Times New Roman" w:hint="eastAsia"/>
                <w:b/>
                <w:sz w:val="18"/>
                <w:szCs w:val="18"/>
                <w:lang w:val="en-US" w:eastAsia="zh-CN"/>
              </w:rPr>
              <w:t>140</w:t>
            </w: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方正书宋_GBK" w:eastAsia="方正书宋_GBK" w:cs="Times New Roman" w:hint="eastAsia"/>
                <w:b/>
                <w:sz w:val="18"/>
                <w:szCs w:val="18"/>
                <w:lang w:val="en-US" w:eastAsia="zh-CN"/>
              </w:rPr>
            </w:pPr>
          </w:p>
        </w:tc>
        <w:tc>
          <w:tcPr>
            <w:tcW w:w="980"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right"/>
              <w:rPr>
                <w:rFonts w:ascii="方正书宋_GBK" w:eastAsia="方正书宋_GBK" w:cs="Times New Roman"/>
                <w:b/>
                <w:szCs w:val="24"/>
              </w:rPr>
            </w:pPr>
          </w:p>
        </w:tc>
        <w:tc>
          <w:tcPr>
            <w:tcW w:w="88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right"/>
              <w:rPr>
                <w:rFonts w:ascii="方正书宋_GBK" w:eastAsia="方正书宋_GBK" w:cs="Times New Roman"/>
                <w:b/>
                <w:szCs w:val="24"/>
              </w:rPr>
            </w:pPr>
          </w:p>
        </w:tc>
        <w:tc>
          <w:tcPr>
            <w:tcW w:w="490"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right"/>
              <w:rPr>
                <w:rFonts w:ascii="方正书宋_GBK" w:eastAsia="方正书宋_GBK" w:cs="Times New Roman"/>
                <w:b/>
                <w:szCs w:val="24"/>
              </w:rPr>
            </w:pPr>
          </w:p>
        </w:tc>
      </w:tr>
      <w:tr>
        <w:trPr>
          <w:trHeight w:val="818"/>
        </w:trPr>
        <w:tc>
          <w:tcPr>
            <w:tcW w:w="2390"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华文中宋" w:eastAsia="华文中宋" w:cs="华文中宋" w:hint="eastAsia"/>
                <w:b w:val="0"/>
                <w:bCs/>
                <w:sz w:val="18"/>
                <w:szCs w:val="18"/>
              </w:rPr>
            </w:pPr>
            <w:r>
              <w:rPr>
                <w:rFonts w:ascii="华文中宋" w:eastAsia="华文中宋" w:cs="华文中宋" w:hint="eastAsia"/>
                <w:b w:val="0"/>
                <w:bCs/>
                <w:sz w:val="18"/>
                <w:szCs w:val="18"/>
              </w:rPr>
              <w:t>粮食监督检查行政执法工作经费</w:t>
            </w:r>
          </w:p>
        </w:tc>
        <w:tc>
          <w:tcPr>
            <w:tcW w:w="1068"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right"/>
              <w:rPr>
                <w:rFonts w:ascii="方正书宋_GBK" w:eastAsia="方正书宋_GBK" w:cs="Times New Roman" w:hint="eastAsia"/>
                <w:b/>
                <w:sz w:val="18"/>
                <w:szCs w:val="18"/>
                <w:lang w:val="en-US" w:eastAsia="zh-CN"/>
              </w:rPr>
            </w:pPr>
            <w:r>
              <w:rPr>
                <w:rFonts w:ascii="方正书宋_GBK" w:eastAsia="方正书宋_GBK" w:cs="Times New Roman" w:hint="eastAsia"/>
                <w:b/>
                <w:sz w:val="18"/>
                <w:szCs w:val="18"/>
                <w:lang w:val="en-US" w:eastAsia="zh-CN"/>
              </w:rPr>
              <w:t>3</w:t>
            </w:r>
          </w:p>
        </w:tc>
        <w:tc>
          <w:tcPr>
            <w:tcW w:w="1137"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cs="Times New Roman" w:hint="eastAsia"/>
                <w:b/>
                <w:sz w:val="18"/>
                <w:szCs w:val="18"/>
                <w:lang w:val="en-US" w:eastAsia="zh-CN"/>
              </w:rPr>
            </w:pPr>
            <w:r>
              <w:rPr>
                <w:rFonts w:ascii="方正书宋_GBK" w:eastAsia="方正书宋_GBK" w:cs="Times New Roman" w:hint="eastAsia"/>
                <w:b/>
                <w:sz w:val="18"/>
                <w:szCs w:val="18"/>
                <w:lang w:val="en-US" w:eastAsia="zh-CN"/>
              </w:rPr>
              <w:t>执法设备</w:t>
            </w:r>
          </w:p>
        </w:tc>
        <w:tc>
          <w:tcPr>
            <w:tcW w:w="1140"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cs="Times New Roman" w:hint="eastAsia"/>
                <w:b/>
                <w:sz w:val="18"/>
                <w:szCs w:val="18"/>
                <w:lang w:val="en-US" w:eastAsia="zh-CN"/>
              </w:rPr>
            </w:pPr>
          </w:p>
        </w:tc>
        <w:tc>
          <w:tcPr>
            <w:tcW w:w="79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cs="Times New Roman" w:hint="eastAsia"/>
                <w:b/>
                <w:sz w:val="18"/>
                <w:szCs w:val="18"/>
                <w:lang w:val="en-US" w:eastAsia="zh-CN"/>
              </w:rPr>
            </w:pPr>
            <w:r>
              <w:rPr>
                <w:rFonts w:ascii="方正书宋_GBK" w:eastAsia="方正书宋_GBK" w:cs="Times New Roman" w:hint="eastAsia"/>
                <w:b/>
                <w:sz w:val="18"/>
                <w:szCs w:val="18"/>
                <w:lang w:val="en-US" w:eastAsia="zh-CN"/>
              </w:rPr>
              <w:t>台</w:t>
            </w:r>
          </w:p>
        </w:tc>
        <w:tc>
          <w:tcPr>
            <w:tcW w:w="962"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right"/>
              <w:rPr>
                <w:rFonts w:ascii="方正书宋_GBK" w:eastAsia="方正书宋_GBK" w:cs="Times New Roman" w:hint="eastAsia"/>
                <w:b/>
                <w:sz w:val="18"/>
                <w:szCs w:val="18"/>
                <w:lang w:val="en-US" w:eastAsia="zh-CN"/>
              </w:rPr>
            </w:pPr>
            <w:r>
              <w:rPr>
                <w:rFonts w:ascii="方正书宋_GBK" w:eastAsia="方正书宋_GBK" w:cs="Times New Roman" w:hint="eastAsia"/>
                <w:b/>
                <w:sz w:val="18"/>
                <w:szCs w:val="18"/>
                <w:lang w:val="en-US" w:eastAsia="zh-CN"/>
              </w:rPr>
              <w:t>6</w:t>
            </w:r>
          </w:p>
        </w:tc>
        <w:tc>
          <w:tcPr>
            <w:tcW w:w="90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right"/>
              <w:rPr>
                <w:rFonts w:ascii="方正书宋_GBK" w:eastAsia="方正书宋_GBK" w:cs="Times New Roman" w:hint="eastAsia"/>
                <w:b/>
                <w:sz w:val="18"/>
                <w:szCs w:val="18"/>
                <w:lang w:val="en-US" w:eastAsia="zh-CN"/>
              </w:rPr>
            </w:pPr>
            <w:r>
              <w:rPr>
                <w:rFonts w:ascii="方正书宋_GBK" w:eastAsia="方正书宋_GBK" w:cs="Times New Roman" w:hint="eastAsia"/>
                <w:b/>
                <w:sz w:val="18"/>
                <w:szCs w:val="18"/>
                <w:lang w:val="en-US" w:eastAsia="zh-CN"/>
              </w:rPr>
              <w:t>3</w:t>
            </w:r>
          </w:p>
        </w:tc>
        <w:tc>
          <w:tcPr>
            <w:tcW w:w="898"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right"/>
              <w:rPr>
                <w:rFonts w:ascii="方正书宋_GBK" w:eastAsia="方正书宋_GBK" w:cs="Times New Roman" w:hint="eastAsia"/>
                <w:b/>
                <w:sz w:val="18"/>
                <w:szCs w:val="18"/>
                <w:lang w:val="en-US" w:eastAsia="zh-CN"/>
              </w:rPr>
            </w:pPr>
            <w:r>
              <w:rPr>
                <w:rFonts w:ascii="方正书宋_GBK" w:eastAsia="方正书宋_GBK" w:cs="Times New Roman" w:hint="eastAsia"/>
                <w:b/>
                <w:sz w:val="18"/>
                <w:szCs w:val="18"/>
                <w:lang w:val="en-US" w:eastAsia="zh-CN"/>
              </w:rPr>
              <w:t>3</w:t>
            </w:r>
          </w:p>
        </w:tc>
        <w:tc>
          <w:tcPr>
            <w:tcW w:w="898"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right"/>
              <w:rPr>
                <w:rFonts w:ascii="方正书宋_GBK" w:eastAsia="方正书宋_GBK" w:cs="Times New Roman" w:hint="eastAsia"/>
                <w:b/>
                <w:sz w:val="18"/>
                <w:szCs w:val="18"/>
                <w:lang w:val="en-US" w:eastAsia="zh-CN"/>
              </w:rPr>
            </w:pPr>
            <w:r>
              <w:rPr>
                <w:rFonts w:ascii="方正书宋_GBK" w:eastAsia="方正书宋_GBK" w:cs="Times New Roman" w:hint="eastAsia"/>
                <w:b/>
                <w:sz w:val="18"/>
                <w:szCs w:val="18"/>
                <w:lang w:val="en-US" w:eastAsia="zh-CN"/>
              </w:rPr>
              <w:t>3</w:t>
            </w:r>
          </w:p>
        </w:tc>
        <w:tc>
          <w:tcPr>
            <w:tcW w:w="898"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right"/>
              <w:rPr>
                <w:rFonts w:ascii="方正书宋_GBK" w:eastAsia="方正书宋_GBK" w:cs="Times New Roman" w:hint="eastAsia"/>
                <w:b/>
                <w:sz w:val="18"/>
                <w:szCs w:val="18"/>
                <w:lang w:val="en-US" w:eastAsia="zh-CN"/>
              </w:rPr>
            </w:pPr>
            <w:r>
              <w:rPr>
                <w:rFonts w:ascii="方正书宋_GBK" w:eastAsia="方正书宋_GBK" w:cs="Times New Roman" w:hint="eastAsia"/>
                <w:b/>
                <w:sz w:val="18"/>
                <w:szCs w:val="18"/>
                <w:lang w:val="en-US" w:eastAsia="zh-CN"/>
              </w:rPr>
              <w:t>3</w:t>
            </w: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right"/>
              <w:rPr>
                <w:rFonts w:ascii="方正书宋_GBK" w:eastAsia="方正书宋_GBK" w:cs="Times New Roman" w:hint="eastAsia"/>
                <w:b/>
                <w:sz w:val="18"/>
                <w:szCs w:val="18"/>
                <w:lang w:val="en-US" w:eastAsia="zh-CN"/>
              </w:rPr>
            </w:pPr>
          </w:p>
        </w:tc>
        <w:tc>
          <w:tcPr>
            <w:tcW w:w="980"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right"/>
              <w:rPr>
                <w:rFonts w:ascii="方正书宋_GBK" w:eastAsia="方正书宋_GBK" w:cs="Times New Roman"/>
                <w:b/>
                <w:sz w:val="18"/>
                <w:szCs w:val="18"/>
              </w:rPr>
            </w:pPr>
          </w:p>
        </w:tc>
        <w:tc>
          <w:tcPr>
            <w:tcW w:w="88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right"/>
              <w:rPr>
                <w:rFonts w:ascii="方正书宋_GBK" w:eastAsia="方正书宋_GBK" w:cs="Times New Roman"/>
                <w:b/>
                <w:sz w:val="18"/>
                <w:szCs w:val="18"/>
              </w:rPr>
            </w:pPr>
          </w:p>
        </w:tc>
        <w:tc>
          <w:tcPr>
            <w:tcW w:w="490"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right"/>
              <w:rPr>
                <w:rFonts w:ascii="方正书宋_GBK" w:eastAsia="方正书宋_GBK" w:cs="Times New Roman"/>
                <w:b/>
                <w:sz w:val="18"/>
                <w:szCs w:val="18"/>
              </w:rPr>
            </w:pPr>
          </w:p>
        </w:tc>
      </w:tr>
      <w:tr>
        <w:tc>
          <w:tcPr>
            <w:tcW w:w="2390"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华文中宋" w:eastAsia="华文中宋" w:cs="华文中宋" w:hint="eastAsia"/>
                <w:b w:val="0"/>
                <w:bCs/>
                <w:sz w:val="18"/>
                <w:szCs w:val="18"/>
              </w:rPr>
            </w:pPr>
            <w:r>
              <w:rPr>
                <w:rFonts w:ascii="华文中宋" w:eastAsia="华文中宋" w:cs="华文中宋" w:hint="eastAsia"/>
                <w:b w:val="0"/>
                <w:bCs/>
                <w:sz w:val="18"/>
                <w:szCs w:val="18"/>
              </w:rPr>
              <w:t>霸州市大运河相关规划经费</w:t>
            </w:r>
          </w:p>
        </w:tc>
        <w:tc>
          <w:tcPr>
            <w:tcW w:w="1068"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right"/>
              <w:rPr>
                <w:rFonts w:ascii="方正书宋_GBK" w:eastAsia="方正书宋_GBK" w:cs="Times New Roman" w:hint="eastAsia"/>
                <w:b/>
                <w:sz w:val="18"/>
                <w:szCs w:val="18"/>
                <w:lang w:val="en-US" w:eastAsia="zh-CN"/>
              </w:rPr>
            </w:pPr>
            <w:r>
              <w:rPr>
                <w:rFonts w:ascii="方正书宋_GBK" w:eastAsia="方正书宋_GBK" w:cs="Times New Roman" w:hint="eastAsia"/>
                <w:b/>
                <w:sz w:val="18"/>
                <w:szCs w:val="18"/>
                <w:lang w:val="en-US" w:eastAsia="zh-CN"/>
              </w:rPr>
              <w:t>500</w:t>
            </w:r>
          </w:p>
        </w:tc>
        <w:tc>
          <w:tcPr>
            <w:tcW w:w="1137"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cs="Times New Roman" w:hint="eastAsia"/>
                <w:b/>
                <w:sz w:val="18"/>
                <w:szCs w:val="18"/>
                <w:lang w:val="en-US" w:eastAsia="zh-CN"/>
              </w:rPr>
            </w:pPr>
            <w:r>
              <w:rPr>
                <w:rFonts w:ascii="方正书宋_GBK" w:eastAsia="方正书宋_GBK" w:cs="Times New Roman" w:hint="eastAsia"/>
                <w:b/>
                <w:sz w:val="18"/>
                <w:szCs w:val="18"/>
                <w:lang w:val="en-US" w:eastAsia="zh-CN"/>
              </w:rPr>
              <w:t>其他服务</w:t>
            </w:r>
          </w:p>
        </w:tc>
        <w:tc>
          <w:tcPr>
            <w:tcW w:w="1140"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cs="Times New Roman" w:hint="eastAsia"/>
                <w:b/>
                <w:sz w:val="18"/>
                <w:szCs w:val="18"/>
                <w:lang w:val="en-US" w:eastAsia="zh-CN"/>
              </w:rPr>
            </w:pPr>
          </w:p>
        </w:tc>
        <w:tc>
          <w:tcPr>
            <w:tcW w:w="79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方正书宋_GBK" w:eastAsia="方正书宋_GBK" w:cs="Times New Roman" w:hint="eastAsia"/>
                <w:b/>
                <w:sz w:val="18"/>
                <w:szCs w:val="18"/>
                <w:lang w:val="en-US" w:eastAsia="zh-CN"/>
              </w:rPr>
            </w:pPr>
            <w:r>
              <w:rPr>
                <w:rFonts w:ascii="方正书宋_GBK" w:eastAsia="方正书宋_GBK" w:cs="Times New Roman" w:hint="eastAsia"/>
                <w:b/>
                <w:sz w:val="18"/>
                <w:szCs w:val="18"/>
                <w:lang w:val="en-US" w:eastAsia="zh-CN"/>
              </w:rPr>
              <w:t>套</w:t>
            </w:r>
          </w:p>
        </w:tc>
        <w:tc>
          <w:tcPr>
            <w:tcW w:w="962"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right"/>
              <w:rPr>
                <w:rFonts w:ascii="方正书宋_GBK" w:eastAsia="方正书宋_GBK" w:cs="Times New Roman" w:hint="eastAsia"/>
                <w:b/>
                <w:sz w:val="18"/>
                <w:szCs w:val="18"/>
                <w:lang w:val="en-US" w:eastAsia="zh-CN"/>
              </w:rPr>
            </w:pPr>
            <w:r>
              <w:rPr>
                <w:rFonts w:ascii="方正书宋_GBK" w:eastAsia="方正书宋_GBK" w:cs="Times New Roman" w:hint="eastAsia"/>
                <w:b/>
                <w:sz w:val="18"/>
                <w:szCs w:val="18"/>
                <w:lang w:val="en-US" w:eastAsia="zh-CN"/>
              </w:rPr>
              <w:t>1</w:t>
            </w:r>
          </w:p>
        </w:tc>
        <w:tc>
          <w:tcPr>
            <w:tcW w:w="90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right"/>
              <w:rPr>
                <w:rFonts w:ascii="方正书宋_GBK" w:eastAsia="方正书宋_GBK" w:cs="Times New Roman" w:hint="eastAsia"/>
                <w:b/>
                <w:sz w:val="18"/>
                <w:szCs w:val="18"/>
                <w:lang w:val="en-US" w:eastAsia="zh-CN"/>
              </w:rPr>
            </w:pPr>
            <w:r>
              <w:rPr>
                <w:rFonts w:ascii="方正书宋_GBK" w:eastAsia="方正书宋_GBK" w:cs="Times New Roman" w:hint="eastAsia"/>
                <w:b/>
                <w:sz w:val="18"/>
                <w:szCs w:val="18"/>
                <w:lang w:val="en-US" w:eastAsia="zh-CN"/>
              </w:rPr>
              <w:t>500</w:t>
            </w:r>
          </w:p>
        </w:tc>
        <w:tc>
          <w:tcPr>
            <w:tcW w:w="898"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right"/>
              <w:rPr>
                <w:rFonts w:ascii="方正书宋_GBK" w:eastAsia="方正书宋_GBK" w:cs="Times New Roman" w:hint="eastAsia"/>
                <w:b/>
                <w:sz w:val="18"/>
                <w:szCs w:val="18"/>
                <w:lang w:val="en-US" w:eastAsia="zh-CN"/>
              </w:rPr>
            </w:pPr>
            <w:r>
              <w:rPr>
                <w:rFonts w:ascii="方正书宋_GBK" w:eastAsia="方正书宋_GBK" w:cs="Times New Roman" w:hint="eastAsia"/>
                <w:b/>
                <w:sz w:val="18"/>
                <w:szCs w:val="18"/>
                <w:lang w:val="en-US" w:eastAsia="zh-CN"/>
              </w:rPr>
              <w:t>500</w:t>
            </w:r>
          </w:p>
        </w:tc>
        <w:tc>
          <w:tcPr>
            <w:tcW w:w="898"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right"/>
              <w:rPr>
                <w:rFonts w:ascii="方正书宋_GBK" w:eastAsia="方正书宋_GBK" w:cs="Times New Roman" w:hint="eastAsia"/>
                <w:b/>
                <w:sz w:val="18"/>
                <w:szCs w:val="18"/>
                <w:lang w:val="en-US" w:eastAsia="zh-CN"/>
              </w:rPr>
            </w:pPr>
            <w:r>
              <w:rPr>
                <w:rFonts w:ascii="方正书宋_GBK" w:eastAsia="方正书宋_GBK" w:cs="Times New Roman" w:hint="eastAsia"/>
                <w:b/>
                <w:sz w:val="18"/>
                <w:szCs w:val="18"/>
                <w:lang w:val="en-US" w:eastAsia="zh-CN"/>
              </w:rPr>
              <w:t>500</w:t>
            </w:r>
          </w:p>
        </w:tc>
        <w:tc>
          <w:tcPr>
            <w:tcW w:w="898"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right"/>
              <w:rPr>
                <w:rFonts w:ascii="方正书宋_GBK" w:eastAsia="方正书宋_GBK" w:cs="Times New Roman" w:hint="eastAsia"/>
                <w:b/>
                <w:sz w:val="18"/>
                <w:szCs w:val="18"/>
                <w:lang w:val="en-US" w:eastAsia="zh-CN"/>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right"/>
              <w:rPr>
                <w:rFonts w:ascii="方正书宋_GBK" w:eastAsia="方正书宋_GBK" w:cs="Times New Roman" w:hint="eastAsia"/>
                <w:b/>
                <w:sz w:val="18"/>
                <w:szCs w:val="18"/>
                <w:lang w:val="en-US" w:eastAsia="zh-CN"/>
              </w:rPr>
            </w:pPr>
            <w:r>
              <w:rPr>
                <w:rFonts w:ascii="方正书宋_GBK" w:eastAsia="方正书宋_GBK" w:cs="Times New Roman" w:hint="eastAsia"/>
                <w:b/>
                <w:sz w:val="18"/>
                <w:szCs w:val="18"/>
                <w:lang w:val="en-US" w:eastAsia="zh-CN"/>
              </w:rPr>
              <w:t>500</w:t>
            </w:r>
          </w:p>
        </w:tc>
        <w:tc>
          <w:tcPr>
            <w:tcW w:w="980"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right"/>
              <w:rPr>
                <w:rFonts w:ascii="方正书宋_GBK" w:eastAsia="方正书宋_GBK" w:cs="Times New Roman"/>
                <w:b/>
                <w:sz w:val="18"/>
                <w:szCs w:val="18"/>
              </w:rPr>
            </w:pPr>
          </w:p>
        </w:tc>
        <w:tc>
          <w:tcPr>
            <w:tcW w:w="88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right"/>
              <w:rPr>
                <w:rFonts w:ascii="方正书宋_GBK" w:eastAsia="方正书宋_GBK" w:cs="Times New Roman"/>
                <w:b/>
                <w:sz w:val="18"/>
                <w:szCs w:val="18"/>
              </w:rPr>
            </w:pPr>
          </w:p>
        </w:tc>
        <w:tc>
          <w:tcPr>
            <w:tcW w:w="490"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right"/>
              <w:rPr>
                <w:rFonts w:ascii="方正书宋_GBK" w:eastAsia="方正书宋_GBK" w:cs="Times New Roman"/>
                <w:b/>
                <w:sz w:val="18"/>
                <w:szCs w:val="18"/>
              </w:rPr>
            </w:pPr>
          </w:p>
        </w:tc>
      </w:tr>
    </w:tbl>
    <w:p>
      <w:pPr>
        <w:ind w:firstLineChars="200" w:firstLine="640"/>
        <w:rPr>
          <w:rFonts w:ascii="黑体" w:eastAsia="黑体" w:cs="Times New Roman" w:hint="eastAsia"/>
          <w:sz w:val="32"/>
          <w:szCs w:val="32"/>
        </w:rPr>
      </w:pPr>
    </w:p>
    <w:p>
      <w:pPr>
        <w:ind w:firstLineChars="200" w:firstLine="640"/>
        <w:rPr>
          <w:rFonts w:ascii="黑体" w:eastAsia="黑体" w:cs="Times New Roman"/>
          <w:sz w:val="32"/>
          <w:szCs w:val="32"/>
        </w:rPr>
      </w:pPr>
      <w:r>
        <w:rPr>
          <w:rFonts w:ascii="黑体" w:eastAsia="黑体" w:cs="Times New Roman" w:hint="eastAsia"/>
          <w:sz w:val="32"/>
          <w:szCs w:val="32"/>
        </w:rPr>
        <w:t>七、国有资产信息</w:t>
      </w:r>
    </w:p>
    <w:p>
      <w:pPr>
        <w:ind w:firstLineChars="200" w:firstLine="640"/>
        <w:rPr>
          <w:rFonts w:ascii="仿宋" w:eastAsia="仿宋" w:cs="仿宋" w:hint="eastAsia"/>
          <w:b w:val="0"/>
          <w:bCs w:val="0"/>
          <w:color w:val="auto"/>
          <w:sz w:val="32"/>
          <w:szCs w:val="32"/>
        </w:rPr>
      </w:pPr>
      <w:r>
        <w:rPr>
          <w:rFonts w:ascii="仿宋" w:eastAsia="仿宋" w:cs="仿宋" w:hint="eastAsia"/>
          <w:b w:val="0"/>
          <w:bCs w:val="0"/>
          <w:sz w:val="32"/>
          <w:szCs w:val="32"/>
        </w:rPr>
        <w:t>霸州市</w:t>
      </w:r>
      <w:r>
        <w:rPr>
          <w:rFonts w:ascii="仿宋" w:eastAsia="仿宋" w:cs="仿宋" w:hint="eastAsia"/>
          <w:b w:val="0"/>
          <w:bCs w:val="0"/>
          <w:sz w:val="32"/>
          <w:szCs w:val="32"/>
          <w:lang w:val="en-US" w:eastAsia="zh-CN"/>
        </w:rPr>
        <w:t>发</w:t>
      </w:r>
      <w:r>
        <w:rPr>
          <w:rFonts w:ascii="仿宋" w:eastAsia="仿宋" w:cs="仿宋" w:hint="eastAsia"/>
          <w:b w:val="0"/>
          <w:bCs w:val="0"/>
          <w:color w:val="auto"/>
          <w:sz w:val="32"/>
          <w:szCs w:val="32"/>
          <w:lang w:val="en-US" w:eastAsia="zh-CN"/>
        </w:rPr>
        <w:t>展和改革局</w:t>
      </w:r>
      <w:r>
        <w:rPr>
          <w:rFonts w:ascii="仿宋" w:eastAsia="仿宋" w:cs="仿宋" w:hint="eastAsia"/>
          <w:b w:val="0"/>
          <w:bCs w:val="0"/>
          <w:color w:val="auto"/>
          <w:sz w:val="32"/>
          <w:szCs w:val="32"/>
        </w:rPr>
        <w:t>上年末固定资产金额为</w:t>
      </w:r>
      <w:r>
        <w:rPr>
          <w:rFonts w:ascii="仿宋" w:eastAsia="仿宋" w:cs="仿宋" w:hint="eastAsia"/>
          <w:b w:val="0"/>
          <w:bCs w:val="0"/>
          <w:color w:val="auto"/>
          <w:sz w:val="32"/>
          <w:szCs w:val="32"/>
          <w:lang w:val="en-US" w:eastAsia="zh-CN"/>
        </w:rPr>
        <w:t>360.88</w:t>
      </w:r>
      <w:r>
        <w:rPr>
          <w:rFonts w:ascii="仿宋" w:eastAsia="仿宋" w:cs="仿宋" w:hint="eastAsia"/>
          <w:b w:val="0"/>
          <w:bCs w:val="0"/>
          <w:color w:val="auto"/>
          <w:sz w:val="32"/>
          <w:szCs w:val="32"/>
        </w:rPr>
        <w:t>万元（详见下表）。本年度各单位（处室）拟购置固定资产总额为</w:t>
      </w:r>
      <w:r>
        <w:rPr>
          <w:rFonts w:ascii="仿宋" w:eastAsia="仿宋" w:cs="仿宋" w:hint="eastAsia"/>
          <w:b w:val="0"/>
          <w:bCs w:val="0"/>
          <w:color w:val="auto"/>
          <w:sz w:val="32"/>
          <w:szCs w:val="32"/>
          <w:lang w:val="en-US" w:eastAsia="zh-CN"/>
        </w:rPr>
        <w:t>3</w:t>
      </w:r>
      <w:r>
        <w:rPr>
          <w:rFonts w:ascii="仿宋" w:eastAsia="仿宋" w:cs="仿宋" w:hint="eastAsia"/>
          <w:b w:val="0"/>
          <w:bCs w:val="0"/>
          <w:color w:val="auto"/>
          <w:sz w:val="32"/>
          <w:szCs w:val="32"/>
        </w:rPr>
        <w:t>万元，主要为计算机设备、打印设备、办公家具等，已列入政府采购预算，详见政府采购预算表。</w:t>
      </w:r>
    </w:p>
    <w:tbl>
      <w:tblPr>
        <w:jc w:val="left"/>
        <w:tblInd w:w="93" w:type="dxa"/>
        <w:tblW w:w="13482"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5224"/>
        <w:gridCol w:w="3155"/>
        <w:gridCol w:w="5103"/>
      </w:tblGrid>
      <w:tr>
        <w:trPr>
          <w:trHeight w:val="705"/>
        </w:trPr>
        <w:tc>
          <w:tcPr>
            <w:tcW w:w="13482" w:type="dxa"/>
            <w:gridSpan w:val="3"/>
            <w:tcBorders>
              <w:top w:val="nil"/>
              <w:left w:val="nil"/>
              <w:bottom w:val="nil"/>
              <w:right w:val="nil"/>
            </w:tcBorders>
            <w:shd w:val="clear" w:color="auto" w:fill="auto"/>
            <w:vAlign w:val="center"/>
          </w:tcPr>
          <w:p>
            <w:pPr>
              <w:widowControl/>
              <w:jc w:val="center"/>
              <w:rPr>
                <w:rFonts w:ascii="宋体" w:eastAsia="宋体" w:cs="宋体"/>
                <w:b/>
                <w:bCs/>
                <w:kern w:val="0"/>
                <w:sz w:val="32"/>
                <w:szCs w:val="32"/>
              </w:rPr>
            </w:pPr>
          </w:p>
          <w:p>
            <w:pPr>
              <w:widowControl/>
              <w:jc w:val="center"/>
              <w:rPr>
                <w:rFonts w:ascii="宋体" w:eastAsia="宋体" w:cs="宋体"/>
                <w:b/>
                <w:bCs/>
                <w:kern w:val="0"/>
                <w:sz w:val="32"/>
                <w:szCs w:val="32"/>
              </w:rPr>
            </w:pPr>
            <w:r>
              <w:rPr>
                <w:rFonts w:ascii="宋体" w:eastAsia="宋体" w:cs="宋体" w:hint="eastAsia"/>
                <w:b/>
                <w:bCs/>
                <w:kern w:val="0"/>
                <w:sz w:val="32"/>
                <w:szCs w:val="32"/>
              </w:rPr>
              <w:t>霸州市</w:t>
            </w:r>
            <w:r>
              <w:rPr>
                <w:rFonts w:ascii="宋体" w:eastAsia="宋体" w:cs="宋体" w:hint="eastAsia"/>
                <w:b/>
                <w:bCs/>
                <w:kern w:val="0"/>
                <w:sz w:val="32"/>
                <w:szCs w:val="32"/>
                <w:lang w:val="en-US" w:eastAsia="zh-CN"/>
              </w:rPr>
              <w:t>发展和改革局</w:t>
            </w:r>
            <w:r>
              <w:rPr>
                <w:rFonts w:ascii="宋体" w:eastAsia="宋体" w:cs="宋体" w:hint="eastAsia"/>
                <w:b/>
                <w:bCs/>
                <w:kern w:val="0"/>
                <w:sz w:val="32"/>
                <w:szCs w:val="32"/>
              </w:rPr>
              <w:t>部门固定资产占用情况表</w:t>
            </w:r>
          </w:p>
        </w:tc>
      </w:tr>
      <w:tr>
        <w:trPr>
          <w:trHeight w:val="510"/>
        </w:trPr>
        <w:tc>
          <w:tcPr>
            <w:tcW w:w="8379" w:type="dxa"/>
            <w:gridSpan w:val="2"/>
            <w:tcBorders>
              <w:top w:val="nil"/>
              <w:left w:val="nil"/>
              <w:bottom w:val="nil"/>
              <w:right w:val="nil"/>
            </w:tcBorders>
            <w:shd w:val="clear" w:color="auto" w:fill="auto"/>
            <w:vAlign w:val="center"/>
          </w:tcPr>
          <w:p>
            <w:pPr>
              <w:widowControl/>
              <w:jc w:val="left"/>
              <w:rPr>
                <w:rFonts w:ascii="宋体" w:eastAsia="宋体" w:cs="宋体" w:hint="eastAsia"/>
                <w:kern w:val="0"/>
                <w:sz w:val="22"/>
                <w:lang w:val="en-US" w:eastAsia="zh-CN"/>
              </w:rPr>
            </w:pPr>
            <w:r>
              <w:rPr>
                <w:rFonts w:ascii="宋体" w:eastAsia="宋体" w:cs="宋体" w:hint="eastAsia"/>
                <w:kern w:val="0"/>
                <w:sz w:val="22"/>
              </w:rPr>
              <w:t>编制部门：</w:t>
            </w:r>
            <w:r>
              <w:rPr>
                <w:rFonts w:ascii="宋体" w:eastAsia="宋体" w:cs="宋体" w:hint="eastAsia"/>
                <w:kern w:val="0"/>
                <w:sz w:val="22"/>
                <w:lang w:val="en-US" w:eastAsia="zh-CN"/>
              </w:rPr>
              <w:t>810</w:t>
            </w:r>
            <w:r>
              <w:rPr>
                <w:rFonts w:ascii="宋体" w:eastAsia="宋体" w:cs="宋体" w:hint="eastAsia"/>
                <w:kern w:val="0"/>
                <w:sz w:val="22"/>
              </w:rPr>
              <w:t>霸州市</w:t>
            </w:r>
            <w:r>
              <w:rPr>
                <w:rFonts w:ascii="宋体" w:eastAsia="宋体" w:cs="宋体" w:hint="eastAsia"/>
                <w:kern w:val="0"/>
                <w:sz w:val="22"/>
                <w:lang w:val="en-US" w:eastAsia="zh-CN"/>
              </w:rPr>
              <w:t>发展和改革局</w:t>
            </w:r>
          </w:p>
        </w:tc>
        <w:tc>
          <w:tcPr>
            <w:tcW w:w="5103" w:type="dxa"/>
            <w:tcBorders>
              <w:top w:val="nil"/>
              <w:left w:val="nil"/>
              <w:bottom w:val="nil"/>
              <w:right w:val="nil"/>
            </w:tcBorders>
            <w:shd w:val="clear" w:color="auto" w:fill="auto"/>
            <w:vAlign w:val="center"/>
          </w:tcPr>
          <w:p>
            <w:pPr>
              <w:widowControl/>
              <w:ind w:firstLineChars="750" w:firstLine="1650"/>
              <w:jc w:val="left"/>
              <w:rPr>
                <w:rFonts w:ascii="宋体" w:eastAsia="宋体" w:cs="宋体"/>
                <w:kern w:val="0"/>
                <w:sz w:val="22"/>
              </w:rPr>
            </w:pPr>
            <w:r>
              <w:rPr>
                <w:rFonts w:ascii="宋体" w:eastAsia="宋体" w:cs="宋体" w:hint="eastAsia"/>
                <w:kern w:val="0"/>
                <w:sz w:val="22"/>
              </w:rPr>
              <w:t>截止时间：20</w:t>
            </w:r>
            <w:r>
              <w:rPr>
                <w:rFonts w:ascii="宋体" w:eastAsia="宋体" w:cs="宋体" w:hint="eastAsia"/>
                <w:kern w:val="0"/>
                <w:sz w:val="22"/>
                <w:lang w:val="en-US" w:eastAsia="zh-CN"/>
              </w:rPr>
              <w:t>20</w:t>
            </w:r>
            <w:r>
              <w:rPr>
                <w:rFonts w:ascii="宋体" w:eastAsia="宋体" w:cs="宋体" w:hint="eastAsia"/>
                <w:kern w:val="0"/>
                <w:sz w:val="22"/>
              </w:rPr>
              <w:t xml:space="preserve">年12月31日  </w:t>
            </w:r>
          </w:p>
        </w:tc>
      </w:tr>
      <w:tr>
        <w:trPr>
          <w:trHeight w:val="478"/>
        </w:trPr>
        <w:tc>
          <w:tcPr>
            <w:tcW w:w="5224"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jc w:val="center"/>
              <w:rPr>
                <w:rFonts w:ascii="宋体" w:eastAsia="宋体" w:cs="宋体"/>
                <w:b/>
                <w:bCs/>
                <w:kern w:val="0"/>
                <w:sz w:val="22"/>
              </w:rPr>
            </w:pPr>
            <w:r>
              <w:rPr>
                <w:rFonts w:ascii="宋体" w:eastAsia="宋体" w:cs="宋体" w:hint="eastAsia"/>
                <w:b/>
                <w:bCs/>
                <w:kern w:val="0"/>
                <w:sz w:val="22"/>
              </w:rPr>
              <w:t>项   目</w:t>
            </w:r>
          </w:p>
        </w:tc>
        <w:tc>
          <w:tcPr>
            <w:tcW w:w="3155" w:type="dxa"/>
            <w:tcBorders>
              <w:top w:val="single" w:sz="4" w:space="0" w:color="auto"/>
              <w:left w:val="nil"/>
              <w:bottom w:val="single" w:sz="4" w:space="0" w:color="auto"/>
              <w:right w:val="single" w:sz="4" w:space="0" w:color="auto"/>
            </w:tcBorders>
            <w:shd w:val="clear" w:color="auto" w:fill="auto"/>
            <w:vAlign w:val="center"/>
          </w:tcPr>
          <w:p>
            <w:pPr>
              <w:widowControl/>
              <w:jc w:val="center"/>
              <w:rPr>
                <w:rFonts w:ascii="宋体" w:eastAsia="宋体" w:cs="宋体"/>
                <w:b/>
                <w:bCs/>
                <w:kern w:val="0"/>
                <w:sz w:val="22"/>
              </w:rPr>
            </w:pPr>
            <w:r>
              <w:rPr>
                <w:rFonts w:ascii="宋体" w:eastAsia="宋体" w:cs="宋体" w:hint="eastAsia"/>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vAlign w:val="center"/>
          </w:tcPr>
          <w:p>
            <w:pPr>
              <w:widowControl/>
              <w:jc w:val="center"/>
              <w:rPr>
                <w:rFonts w:ascii="宋体" w:eastAsia="宋体" w:cs="宋体"/>
                <w:b/>
                <w:bCs/>
                <w:kern w:val="0"/>
                <w:sz w:val="22"/>
              </w:rPr>
            </w:pPr>
            <w:r>
              <w:rPr>
                <w:rFonts w:ascii="宋体" w:eastAsia="宋体" w:cs="宋体" w:hint="eastAsia"/>
                <w:b/>
                <w:bCs/>
                <w:kern w:val="0"/>
                <w:sz w:val="22"/>
              </w:rPr>
              <w:t>价值（金额单位：万元）</w:t>
            </w:r>
          </w:p>
        </w:tc>
      </w:tr>
      <w:tr>
        <w:trPr>
          <w:trHeight w:val="543"/>
        </w:trPr>
        <w:tc>
          <w:tcPr>
            <w:tcW w:w="5224" w:type="dxa"/>
            <w:tcBorders>
              <w:top w:val="nil"/>
              <w:left w:val="single" w:sz="4" w:space="0" w:color="auto"/>
              <w:bottom w:val="single" w:sz="4" w:space="0" w:color="auto"/>
              <w:right w:val="single" w:sz="4" w:space="0" w:color="auto"/>
            </w:tcBorders>
            <w:shd w:val="clear" w:color="auto" w:fill="auto"/>
            <w:vAlign w:val="center"/>
          </w:tcPr>
          <w:p>
            <w:pPr>
              <w:widowControl/>
              <w:jc w:val="center"/>
              <w:rPr>
                <w:rFonts w:ascii="宋体" w:eastAsia="宋体" w:cs="宋体"/>
                <w:kern w:val="0"/>
                <w:sz w:val="22"/>
              </w:rPr>
            </w:pPr>
            <w:r>
              <w:rPr>
                <w:rFonts w:ascii="宋体" w:eastAsia="宋体" w:cs="宋体" w:hint="eastAsia"/>
                <w:kern w:val="0"/>
                <w:sz w:val="22"/>
              </w:rPr>
              <w:t>资产总额</w:t>
            </w:r>
          </w:p>
        </w:tc>
        <w:tc>
          <w:tcPr>
            <w:tcW w:w="3155" w:type="dxa"/>
            <w:tcBorders>
              <w:top w:val="nil"/>
              <w:left w:val="nil"/>
              <w:bottom w:val="single" w:sz="4" w:space="0" w:color="auto"/>
              <w:right w:val="single" w:sz="4" w:space="0" w:color="auto"/>
            </w:tcBorders>
            <w:shd w:val="clear" w:color="auto" w:fill="auto"/>
            <w:vAlign w:val="center"/>
          </w:tcPr>
          <w:p>
            <w:pPr>
              <w:widowControl/>
              <w:jc w:val="center"/>
              <w:rPr>
                <w:rFonts w:ascii="宋体" w:eastAsia="宋体" w:cs="宋体"/>
                <w:kern w:val="0"/>
                <w:sz w:val="22"/>
              </w:rPr>
            </w:pPr>
            <w:r>
              <w:rPr>
                <w:rFonts w:ascii="宋体" w:eastAsia="宋体" w:cs="宋体" w:hint="eastAsia"/>
                <w:kern w:val="0"/>
                <w:sz w:val="22"/>
              </w:rPr>
              <w:t>——</w:t>
            </w:r>
          </w:p>
        </w:tc>
        <w:tc>
          <w:tcPr>
            <w:tcW w:w="5103" w:type="dxa"/>
            <w:tcBorders>
              <w:top w:val="nil"/>
              <w:left w:val="nil"/>
              <w:bottom w:val="single" w:sz="4" w:space="0" w:color="auto"/>
              <w:right w:val="single" w:sz="4" w:space="0" w:color="auto"/>
            </w:tcBorders>
            <w:shd w:val="clear" w:color="auto" w:fill="auto"/>
            <w:vAlign w:val="center"/>
          </w:tcPr>
          <w:p>
            <w:pPr>
              <w:widowControl/>
              <w:jc w:val="center"/>
              <w:rPr>
                <w:rFonts w:ascii="宋体" w:eastAsia="宋体" w:cs="宋体"/>
                <w:kern w:val="0"/>
                <w:sz w:val="22"/>
              </w:rPr>
            </w:pPr>
            <w:r>
              <w:rPr>
                <w:rFonts w:ascii="宋体" w:eastAsia="宋体" w:cs="宋体"/>
                <w:kern w:val="0"/>
                <w:sz w:val="22"/>
              </w:rPr>
              <w:t>360.88</w:t>
            </w:r>
          </w:p>
        </w:tc>
      </w:tr>
      <w:tr>
        <w:trPr>
          <w:trHeight w:val="578"/>
        </w:trPr>
        <w:tc>
          <w:tcPr>
            <w:tcW w:w="5224" w:type="dxa"/>
            <w:tcBorders>
              <w:top w:val="nil"/>
              <w:left w:val="single" w:sz="4" w:space="0" w:color="auto"/>
              <w:bottom w:val="single" w:sz="4" w:space="0" w:color="auto"/>
              <w:right w:val="single" w:sz="4" w:space="0" w:color="auto"/>
            </w:tcBorders>
            <w:shd w:val="clear" w:color="auto" w:fill="auto"/>
            <w:vAlign w:val="center"/>
          </w:tcPr>
          <w:p>
            <w:pPr>
              <w:widowControl/>
              <w:jc w:val="left"/>
              <w:rPr>
                <w:rFonts w:ascii="宋体" w:eastAsia="宋体" w:cs="宋体"/>
                <w:kern w:val="0"/>
                <w:sz w:val="22"/>
              </w:rPr>
            </w:pPr>
            <w:r>
              <w:rPr>
                <w:rFonts w:ascii="宋体" w:eastAsia="宋体" w:cs="宋体" w:hint="eastAsia"/>
                <w:kern w:val="0"/>
                <w:sz w:val="22"/>
              </w:rPr>
              <w:t>1、房屋（平方米）</w:t>
            </w:r>
          </w:p>
        </w:tc>
        <w:tc>
          <w:tcPr>
            <w:tcW w:w="3155" w:type="dxa"/>
            <w:tcBorders>
              <w:top w:val="nil"/>
              <w:left w:val="nil"/>
              <w:bottom w:val="single" w:sz="4" w:space="0" w:color="auto"/>
              <w:right w:val="single" w:sz="4" w:space="0" w:color="auto"/>
            </w:tcBorders>
            <w:shd w:val="clear" w:color="auto" w:fill="auto"/>
            <w:vAlign w:val="center"/>
          </w:tcPr>
          <w:p>
            <w:pPr>
              <w:widowControl/>
              <w:jc w:val="center"/>
              <w:rPr>
                <w:rFonts w:ascii="宋体" w:eastAsia="宋体" w:cs="宋体" w:hint="eastAsia"/>
                <w:kern w:val="0"/>
                <w:sz w:val="22"/>
                <w:lang w:val="en-US" w:eastAsia="zh-CN"/>
              </w:rPr>
            </w:pPr>
            <w:r>
              <w:rPr>
                <w:rFonts w:ascii="宋体" w:eastAsia="宋体" w:cs="宋体" w:hint="eastAsia"/>
                <w:kern w:val="0"/>
                <w:sz w:val="22"/>
                <w:lang w:val="en-US" w:eastAsia="zh-CN"/>
              </w:rPr>
              <w:t>475</w:t>
            </w:r>
          </w:p>
        </w:tc>
        <w:tc>
          <w:tcPr>
            <w:tcW w:w="5103" w:type="dxa"/>
            <w:tcBorders>
              <w:top w:val="nil"/>
              <w:left w:val="nil"/>
              <w:bottom w:val="single" w:sz="4" w:space="0" w:color="auto"/>
              <w:right w:val="single" w:sz="4" w:space="0" w:color="auto"/>
            </w:tcBorders>
            <w:shd w:val="clear" w:color="auto" w:fill="auto"/>
            <w:vAlign w:val="center"/>
          </w:tcPr>
          <w:p>
            <w:pPr>
              <w:widowControl/>
              <w:jc w:val="center"/>
              <w:rPr>
                <w:rFonts w:ascii="宋体" w:eastAsia="宋体" w:cs="宋体"/>
                <w:kern w:val="0"/>
                <w:sz w:val="22"/>
              </w:rPr>
            </w:pPr>
            <w:r>
              <w:rPr>
                <w:rFonts w:ascii="宋体" w:eastAsia="宋体" w:cs="宋体"/>
                <w:kern w:val="0"/>
                <w:sz w:val="22"/>
              </w:rPr>
              <w:t>118.8</w:t>
            </w:r>
          </w:p>
        </w:tc>
      </w:tr>
      <w:tr>
        <w:trPr>
          <w:trHeight w:val="543"/>
        </w:trPr>
        <w:tc>
          <w:tcPr>
            <w:tcW w:w="5224" w:type="dxa"/>
            <w:tcBorders>
              <w:top w:val="nil"/>
              <w:left w:val="single" w:sz="4" w:space="0" w:color="auto"/>
              <w:bottom w:val="single" w:sz="4" w:space="0" w:color="auto"/>
              <w:right w:val="single" w:sz="4" w:space="0" w:color="auto"/>
            </w:tcBorders>
            <w:shd w:val="clear" w:color="auto" w:fill="auto"/>
            <w:vAlign w:val="center"/>
          </w:tcPr>
          <w:p>
            <w:pPr>
              <w:widowControl/>
              <w:jc w:val="left"/>
              <w:rPr>
                <w:rFonts w:ascii="宋体" w:eastAsia="宋体" w:cs="宋体"/>
                <w:kern w:val="0"/>
                <w:sz w:val="22"/>
              </w:rPr>
            </w:pPr>
            <w:r>
              <w:rPr>
                <w:rFonts w:ascii="宋体" w:eastAsia="宋体" w:cs="宋体" w:hint="eastAsia"/>
                <w:kern w:val="0"/>
                <w:sz w:val="22"/>
              </w:rPr>
              <w:t xml:space="preserve">   其中：办公用房（平方米）</w:t>
            </w:r>
          </w:p>
        </w:tc>
        <w:tc>
          <w:tcPr>
            <w:tcW w:w="3155" w:type="dxa"/>
            <w:tcBorders>
              <w:top w:val="nil"/>
              <w:left w:val="nil"/>
              <w:bottom w:val="single" w:sz="4" w:space="0" w:color="auto"/>
              <w:right w:val="single" w:sz="4" w:space="0" w:color="auto"/>
            </w:tcBorders>
            <w:shd w:val="clear" w:color="auto" w:fill="auto"/>
            <w:vAlign w:val="center"/>
          </w:tcPr>
          <w:p>
            <w:pPr>
              <w:widowControl/>
              <w:jc w:val="center"/>
              <w:rPr>
                <w:rFonts w:ascii="宋体" w:eastAsia="宋体" w:cs="宋体" w:hint="eastAsia"/>
                <w:kern w:val="0"/>
                <w:sz w:val="22"/>
                <w:lang w:val="en-US" w:eastAsia="zh-CN"/>
              </w:rPr>
            </w:pPr>
            <w:r>
              <w:rPr>
                <w:rFonts w:ascii="宋体" w:eastAsia="宋体" w:cs="宋体" w:hint="eastAsia"/>
                <w:kern w:val="0"/>
                <w:sz w:val="22"/>
                <w:lang w:val="en-US" w:eastAsia="zh-CN"/>
              </w:rPr>
              <w:t>475</w:t>
            </w:r>
          </w:p>
        </w:tc>
        <w:tc>
          <w:tcPr>
            <w:tcW w:w="5103" w:type="dxa"/>
            <w:tcBorders>
              <w:top w:val="nil"/>
              <w:left w:val="nil"/>
              <w:bottom w:val="single" w:sz="4" w:space="0" w:color="auto"/>
              <w:right w:val="single" w:sz="4" w:space="0" w:color="auto"/>
            </w:tcBorders>
            <w:shd w:val="clear" w:color="auto" w:fill="auto"/>
            <w:vAlign w:val="center"/>
          </w:tcPr>
          <w:p>
            <w:pPr>
              <w:widowControl/>
              <w:jc w:val="center"/>
              <w:rPr>
                <w:rFonts w:ascii="宋体" w:eastAsia="宋体" w:cs="宋体"/>
                <w:kern w:val="0"/>
                <w:sz w:val="22"/>
              </w:rPr>
            </w:pPr>
            <w:r>
              <w:rPr>
                <w:rFonts w:ascii="宋体" w:eastAsia="宋体" w:cs="宋体"/>
                <w:kern w:val="0"/>
                <w:sz w:val="22"/>
              </w:rPr>
              <w:t>118.8</w:t>
            </w:r>
          </w:p>
        </w:tc>
      </w:tr>
      <w:tr>
        <w:trPr>
          <w:trHeight w:val="566"/>
        </w:trPr>
        <w:tc>
          <w:tcPr>
            <w:tcW w:w="5224" w:type="dxa"/>
            <w:tcBorders>
              <w:top w:val="nil"/>
              <w:left w:val="single" w:sz="4" w:space="0" w:color="auto"/>
              <w:bottom w:val="single" w:sz="4" w:space="0" w:color="auto"/>
              <w:right w:val="single" w:sz="4" w:space="0" w:color="auto"/>
            </w:tcBorders>
            <w:shd w:val="clear" w:color="auto" w:fill="auto"/>
            <w:vAlign w:val="center"/>
          </w:tcPr>
          <w:p>
            <w:pPr>
              <w:widowControl/>
              <w:jc w:val="left"/>
              <w:rPr>
                <w:rFonts w:ascii="宋体" w:eastAsia="宋体" w:cs="宋体"/>
                <w:kern w:val="0"/>
                <w:sz w:val="22"/>
              </w:rPr>
            </w:pPr>
            <w:r>
              <w:rPr>
                <w:rFonts w:ascii="宋体" w:eastAsia="宋体" w:cs="宋体" w:hint="eastAsia"/>
                <w:kern w:val="0"/>
                <w:sz w:val="22"/>
              </w:rPr>
              <w:t>2、车辆（台、辆）</w:t>
            </w:r>
          </w:p>
        </w:tc>
        <w:tc>
          <w:tcPr>
            <w:tcW w:w="3155" w:type="dxa"/>
            <w:tcBorders>
              <w:top w:val="nil"/>
              <w:left w:val="nil"/>
              <w:bottom w:val="single" w:sz="4" w:space="0" w:color="auto"/>
              <w:right w:val="single" w:sz="4" w:space="0" w:color="auto"/>
            </w:tcBorders>
            <w:shd w:val="clear" w:color="auto" w:fill="auto"/>
            <w:vAlign w:val="center"/>
          </w:tcPr>
          <w:p>
            <w:pPr>
              <w:widowControl/>
              <w:jc w:val="center"/>
              <w:rPr>
                <w:rFonts w:ascii="宋体" w:eastAsia="宋体" w:cs="宋体" w:hint="eastAsia"/>
                <w:kern w:val="0"/>
                <w:sz w:val="22"/>
                <w:lang w:val="en-US" w:eastAsia="zh-CN"/>
              </w:rPr>
            </w:pPr>
            <w:r>
              <w:rPr>
                <w:rFonts w:ascii="宋体" w:eastAsia="宋体" w:cs="宋体" w:hint="eastAsia"/>
                <w:kern w:val="0"/>
                <w:sz w:val="22"/>
                <w:lang w:val="en-US" w:eastAsia="zh-CN"/>
              </w:rPr>
              <w:t>6</w:t>
            </w:r>
          </w:p>
        </w:tc>
        <w:tc>
          <w:tcPr>
            <w:tcW w:w="5103" w:type="dxa"/>
            <w:tcBorders>
              <w:top w:val="nil"/>
              <w:left w:val="nil"/>
              <w:bottom w:val="single" w:sz="4" w:space="0" w:color="auto"/>
              <w:right w:val="single" w:sz="4" w:space="0" w:color="auto"/>
            </w:tcBorders>
            <w:shd w:val="clear" w:color="auto" w:fill="auto"/>
            <w:vAlign w:val="center"/>
          </w:tcPr>
          <w:p>
            <w:pPr>
              <w:widowControl/>
              <w:jc w:val="center"/>
              <w:rPr>
                <w:rFonts w:ascii="宋体" w:eastAsia="宋体" w:cs="宋体"/>
                <w:kern w:val="0"/>
                <w:sz w:val="22"/>
              </w:rPr>
            </w:pPr>
            <w:r>
              <w:rPr>
                <w:rFonts w:ascii="宋体" w:eastAsia="宋体" w:cs="宋体"/>
                <w:kern w:val="0"/>
                <w:sz w:val="22"/>
              </w:rPr>
              <w:t>103.7</w:t>
            </w:r>
          </w:p>
        </w:tc>
      </w:tr>
      <w:tr>
        <w:trPr>
          <w:trHeight w:val="546"/>
        </w:trPr>
        <w:tc>
          <w:tcPr>
            <w:tcW w:w="5224" w:type="dxa"/>
            <w:tcBorders>
              <w:top w:val="nil"/>
              <w:left w:val="single" w:sz="4" w:space="0" w:color="auto"/>
              <w:bottom w:val="single" w:sz="4" w:space="0" w:color="auto"/>
              <w:right w:val="single" w:sz="4" w:space="0" w:color="auto"/>
            </w:tcBorders>
            <w:shd w:val="clear" w:color="auto" w:fill="auto"/>
            <w:vAlign w:val="center"/>
          </w:tcPr>
          <w:p>
            <w:pPr>
              <w:widowControl/>
              <w:jc w:val="left"/>
              <w:rPr>
                <w:rFonts w:ascii="宋体" w:eastAsia="宋体" w:cs="宋体"/>
                <w:kern w:val="0"/>
                <w:sz w:val="22"/>
              </w:rPr>
            </w:pPr>
            <w:r>
              <w:rPr>
                <w:rFonts w:ascii="宋体" w:eastAsia="宋体" w:cs="宋体" w:hint="eastAsia"/>
                <w:kern w:val="0"/>
                <w:sz w:val="22"/>
              </w:rPr>
              <w:t>3、单价在20万元以上的设备</w:t>
            </w:r>
          </w:p>
        </w:tc>
        <w:tc>
          <w:tcPr>
            <w:tcW w:w="3155" w:type="dxa"/>
            <w:tcBorders>
              <w:top w:val="nil"/>
              <w:left w:val="nil"/>
              <w:bottom w:val="single" w:sz="4" w:space="0" w:color="auto"/>
              <w:right w:val="single" w:sz="4" w:space="0" w:color="auto"/>
            </w:tcBorders>
            <w:shd w:val="clear" w:color="auto" w:fill="auto"/>
            <w:vAlign w:val="center"/>
          </w:tcPr>
          <w:p>
            <w:pPr>
              <w:widowControl/>
              <w:jc w:val="center"/>
              <w:rPr>
                <w:rFonts w:ascii="宋体" w:eastAsia="宋体" w:cs="宋体"/>
                <w:kern w:val="0"/>
                <w:sz w:val="22"/>
              </w:rPr>
            </w:pPr>
          </w:p>
        </w:tc>
        <w:tc>
          <w:tcPr>
            <w:tcW w:w="5103" w:type="dxa"/>
            <w:tcBorders>
              <w:top w:val="nil"/>
              <w:left w:val="nil"/>
              <w:bottom w:val="single" w:sz="4" w:space="0" w:color="auto"/>
              <w:right w:val="single" w:sz="4" w:space="0" w:color="auto"/>
            </w:tcBorders>
            <w:shd w:val="clear" w:color="auto" w:fill="auto"/>
            <w:vAlign w:val="center"/>
          </w:tcPr>
          <w:p>
            <w:pPr>
              <w:widowControl/>
              <w:jc w:val="center"/>
              <w:rPr>
                <w:rFonts w:ascii="宋体" w:eastAsia="宋体" w:cs="宋体"/>
                <w:kern w:val="0"/>
                <w:sz w:val="22"/>
              </w:rPr>
            </w:pPr>
          </w:p>
        </w:tc>
      </w:tr>
      <w:tr>
        <w:trPr>
          <w:trHeight w:val="645"/>
        </w:trPr>
        <w:tc>
          <w:tcPr>
            <w:tcW w:w="5224" w:type="dxa"/>
            <w:tcBorders>
              <w:top w:val="nil"/>
              <w:left w:val="single" w:sz="4" w:space="0" w:color="auto"/>
              <w:bottom w:val="single" w:sz="4" w:space="0" w:color="auto"/>
              <w:right w:val="single" w:sz="4" w:space="0" w:color="auto"/>
            </w:tcBorders>
            <w:shd w:val="clear" w:color="auto" w:fill="auto"/>
            <w:vAlign w:val="center"/>
          </w:tcPr>
          <w:p>
            <w:pPr>
              <w:widowControl/>
              <w:jc w:val="left"/>
              <w:rPr>
                <w:rFonts w:ascii="宋体" w:eastAsia="宋体" w:cs="宋体"/>
                <w:kern w:val="0"/>
                <w:sz w:val="22"/>
              </w:rPr>
            </w:pPr>
            <w:r>
              <w:rPr>
                <w:rFonts w:ascii="宋体" w:eastAsia="宋体" w:cs="宋体" w:hint="eastAsia"/>
                <w:kern w:val="0"/>
                <w:sz w:val="22"/>
              </w:rPr>
              <w:t>4、其他固定资产</w:t>
            </w:r>
          </w:p>
        </w:tc>
        <w:tc>
          <w:tcPr>
            <w:tcW w:w="3155" w:type="dxa"/>
            <w:tcBorders>
              <w:top w:val="nil"/>
              <w:left w:val="nil"/>
              <w:bottom w:val="single" w:sz="4" w:space="0" w:color="auto"/>
              <w:right w:val="single" w:sz="4" w:space="0" w:color="auto"/>
            </w:tcBorders>
            <w:shd w:val="clear" w:color="auto" w:fill="auto"/>
            <w:vAlign w:val="center"/>
          </w:tcPr>
          <w:p>
            <w:pPr>
              <w:widowControl/>
              <w:jc w:val="center"/>
              <w:rPr>
                <w:rFonts w:ascii="宋体" w:eastAsia="宋体" w:cs="宋体" w:hint="eastAsia"/>
                <w:kern w:val="0"/>
                <w:sz w:val="22"/>
                <w:lang w:val="en-US" w:eastAsia="zh-CN"/>
              </w:rPr>
            </w:pPr>
            <w:r>
              <w:rPr>
                <w:rFonts w:ascii="宋体" w:eastAsia="宋体" w:cs="宋体" w:hint="eastAsia"/>
                <w:kern w:val="0"/>
                <w:sz w:val="22"/>
                <w:lang w:val="en-US" w:eastAsia="zh-CN"/>
              </w:rPr>
              <w:t>1</w:t>
            </w:r>
          </w:p>
        </w:tc>
        <w:tc>
          <w:tcPr>
            <w:tcW w:w="5103" w:type="dxa"/>
            <w:tcBorders>
              <w:top w:val="nil"/>
              <w:left w:val="nil"/>
              <w:bottom w:val="single" w:sz="4" w:space="0" w:color="auto"/>
              <w:right w:val="single" w:sz="4" w:space="0" w:color="auto"/>
            </w:tcBorders>
            <w:shd w:val="clear" w:color="auto" w:fill="auto"/>
            <w:vAlign w:val="center"/>
          </w:tcPr>
          <w:p>
            <w:pPr>
              <w:widowControl/>
              <w:jc w:val="center"/>
              <w:rPr>
                <w:rFonts w:ascii="宋体" w:eastAsia="宋体" w:cs="宋体"/>
                <w:kern w:val="0"/>
                <w:sz w:val="22"/>
              </w:rPr>
            </w:pPr>
            <w:r>
              <w:rPr>
                <w:rFonts w:ascii="宋体" w:eastAsia="宋体" w:cs="宋体"/>
                <w:kern w:val="0"/>
                <w:sz w:val="22"/>
              </w:rPr>
              <w:t>138.38</w:t>
            </w:r>
          </w:p>
        </w:tc>
      </w:tr>
    </w:tbl>
    <w:p>
      <w:pPr>
        <w:ind w:firstLineChars="200" w:firstLine="640"/>
        <w:rPr>
          <w:rFonts w:ascii="黑体" w:eastAsia="黑体" w:cs="Times New Roman"/>
          <w:sz w:val="32"/>
          <w:szCs w:val="32"/>
        </w:rPr>
      </w:pPr>
      <w:r>
        <w:rPr>
          <w:rFonts w:ascii="黑体" w:eastAsia="黑体" w:cs="Times New Roman" w:hint="eastAsia"/>
          <w:sz w:val="32"/>
          <w:szCs w:val="32"/>
        </w:rPr>
        <w:t>八、名词解释</w:t>
      </w:r>
    </w:p>
    <w:p>
      <w:pPr>
        <w:rPr>
          <w:rFonts w:ascii="仿宋_GB2312" w:eastAsia="仿宋_GB2312" w:cs="Times New Roman"/>
          <w:sz w:val="32"/>
          <w:szCs w:val="32"/>
        </w:rPr>
      </w:pPr>
      <w:r>
        <w:rPr>
          <w:rFonts w:ascii="仿宋_GB2312" w:eastAsia="仿宋_GB2312" w:cs="Times New Roman" w:hint="eastAsia"/>
          <w:sz w:val="32"/>
          <w:szCs w:val="32"/>
        </w:rPr>
        <w:t xml:space="preserve"> </w:t>
      </w:r>
      <w:r>
        <w:rPr>
          <w:rFonts w:ascii="仿宋_GB2312" w:eastAsia="仿宋_GB2312" w:cs="Times New Roman"/>
          <w:sz w:val="32"/>
          <w:szCs w:val="32"/>
        </w:rPr>
        <w:t xml:space="preserve">   </w:t>
      </w:r>
      <w:r>
        <w:rPr>
          <w:rFonts w:ascii="仿宋_GB2312" w:eastAsia="仿宋_GB2312" w:cs="Times New Roman" w:hint="eastAsia"/>
          <w:sz w:val="32"/>
          <w:szCs w:val="32"/>
        </w:rPr>
        <w:t>1、一般公共预算拨款收入：指市级财政当年拨付的资金。</w:t>
      </w:r>
    </w:p>
    <w:p>
      <w:pPr>
        <w:rPr>
          <w:rFonts w:ascii="仿宋_GB2312" w:eastAsia="仿宋_GB2312" w:cs="Times New Roman"/>
          <w:sz w:val="32"/>
          <w:szCs w:val="32"/>
        </w:rPr>
      </w:pPr>
      <w:r>
        <w:rPr>
          <w:rFonts w:ascii="仿宋_GB2312" w:eastAsia="仿宋_GB2312" w:cs="Times New Roman" w:hint="eastAsia"/>
          <w:sz w:val="32"/>
          <w:szCs w:val="32"/>
        </w:rPr>
        <w:t xml:space="preserve">    2、事业收入：指事业单位开展专业业务活动及辅助活动所取得的收入。</w:t>
      </w:r>
    </w:p>
    <w:p>
      <w:pPr>
        <w:rPr>
          <w:rFonts w:ascii="仿宋_GB2312" w:eastAsia="仿宋_GB2312" w:cs="Times New Roman"/>
          <w:sz w:val="32"/>
          <w:szCs w:val="32"/>
        </w:rPr>
      </w:pPr>
      <w:r>
        <w:rPr>
          <w:rFonts w:ascii="仿宋_GB2312" w:eastAsia="仿宋_GB2312" w:cs="Times New Roman" w:hint="eastAsia"/>
          <w:sz w:val="32"/>
          <w:szCs w:val="32"/>
        </w:rPr>
        <w:t xml:space="preserve">    3、其他收入：指除上述“财政拨款收入”、“事业收入”等以外的收入。主要是按规定动用的租房收入、存款利息收入等。</w:t>
      </w:r>
    </w:p>
    <w:p>
      <w:pPr>
        <w:rPr>
          <w:rFonts w:ascii="仿宋_GB2312" w:eastAsia="仿宋_GB2312" w:cs="Times New Roman"/>
          <w:sz w:val="32"/>
          <w:szCs w:val="32"/>
        </w:rPr>
      </w:pPr>
      <w:r>
        <w:rPr>
          <w:rFonts w:ascii="仿宋_GB2312" w:eastAsia="仿宋_GB2312" w:cs="Times New Roman" w:hint="eastAsia"/>
          <w:sz w:val="32"/>
          <w:szCs w:val="32"/>
        </w:rPr>
        <w:t xml:space="preserve">    4、基本支出：指为保障机构正常运转、完成日常工作任务而发生的人员支出和公用支出。</w:t>
      </w:r>
    </w:p>
    <w:p>
      <w:pPr>
        <w:rPr>
          <w:rFonts w:ascii="仿宋_GB2312" w:eastAsia="仿宋_GB2312" w:cs="Times New Roman"/>
          <w:sz w:val="32"/>
          <w:szCs w:val="32"/>
        </w:rPr>
      </w:pPr>
      <w:r>
        <w:rPr>
          <w:rFonts w:ascii="仿宋_GB2312" w:eastAsia="仿宋_GB2312" w:cs="Times New Roman" w:hint="eastAsia"/>
          <w:sz w:val="32"/>
          <w:szCs w:val="32"/>
        </w:rPr>
        <w:t xml:space="preserve">    5、项目支出：指在基本支出之外为完成特定行政任务和事业发展目标所发生的支出。</w:t>
      </w:r>
    </w:p>
    <w:p>
      <w:pPr>
        <w:rPr>
          <w:rFonts w:ascii="仿宋_GB2312" w:eastAsia="仿宋_GB2312" w:cs="Times New Roman"/>
          <w:sz w:val="32"/>
          <w:szCs w:val="32"/>
        </w:rPr>
      </w:pPr>
      <w:r>
        <w:rPr>
          <w:rFonts w:ascii="仿宋_GB2312" w:eastAsia="仿宋_GB2312" w:cs="Times New Roman" w:hint="eastAsia"/>
          <w:sz w:val="32"/>
          <w:szCs w:val="32"/>
        </w:rPr>
        <w:t xml:space="preserve">    6、上缴上级支出：指下级单位上缴上级的支出。</w:t>
      </w:r>
    </w:p>
    <w:p>
      <w:pPr>
        <w:rPr>
          <w:rFonts w:ascii="仿宋_GB2312" w:eastAsia="仿宋_GB2312" w:cs="Times New Roman"/>
          <w:sz w:val="32"/>
          <w:szCs w:val="32"/>
        </w:rPr>
      </w:pPr>
      <w:r>
        <w:rPr>
          <w:rFonts w:ascii="仿宋_GB2312" w:eastAsia="仿宋_GB2312" w:cs="Times New Roman" w:hint="eastAsia"/>
          <w:sz w:val="32"/>
          <w:szCs w:val="32"/>
        </w:rPr>
        <w:t xml:space="preserve">    7、“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rPr>
          <w:rFonts w:ascii="仿宋_GB2312" w:eastAsia="仿宋_GB2312" w:cs="Times New Roman"/>
          <w:sz w:val="32"/>
          <w:szCs w:val="32"/>
        </w:rPr>
      </w:pPr>
      <w:r>
        <w:rPr>
          <w:rFonts w:ascii="仿宋_GB2312" w:eastAsia="仿宋_GB2312" w:cs="Times New Roman" w:hint="eastAsia"/>
          <w:sz w:val="32"/>
          <w:szCs w:val="32"/>
        </w:rPr>
        <w:t xml:space="preserve">    8、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Chars="200" w:firstLine="640"/>
        <w:rPr>
          <w:rFonts w:ascii="黑体" w:eastAsia="黑体" w:cs="Times New Roman"/>
          <w:sz w:val="32"/>
          <w:szCs w:val="32"/>
        </w:rPr>
      </w:pPr>
      <w:r>
        <w:rPr>
          <w:rFonts w:ascii="黑体" w:eastAsia="黑体" w:cs="Times New Roman" w:hint="eastAsia"/>
          <w:sz w:val="32"/>
          <w:szCs w:val="32"/>
        </w:rPr>
        <w:t>九、其他需要说明的事项</w:t>
      </w:r>
    </w:p>
    <w:p>
      <w:pPr>
        <w:ind w:firstLine="640"/>
        <w:rPr>
          <w:rFonts w:ascii="仿宋_GB2312" w:eastAsia="仿宋_GB2312" w:cs="Times New Roman"/>
          <w:sz w:val="32"/>
          <w:szCs w:val="32"/>
        </w:rPr>
      </w:pPr>
      <w:r>
        <w:rPr>
          <w:rFonts w:ascii="仿宋_GB2312" w:eastAsia="仿宋_GB2312" w:cs="Times New Roman" w:hint="eastAsia"/>
          <w:sz w:val="32"/>
          <w:szCs w:val="32"/>
        </w:rPr>
        <w:t>无其他需要说明的事项。</w:t>
      </w:r>
    </w:p>
    <w:sectPr>
      <w:footerReference w:type="default" r:id="rId2"/>
      <w:pgSz w:w="16838" w:h="11906" w:orient="landscape"/>
      <w:pgMar w:top="1797" w:right="1440" w:bottom="1797" w:left="144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简体">
    <w:altName w:val="微软雅黑"/>
    <w:panose1 w:val="00000000000000000000"/>
    <w:charset w:val="86"/>
    <w:family w:val="auto"/>
    <w:pitch w:val="variable"/>
    <w:sig w:usb0="00000000" w:usb1="00000000" w:usb2="00000010" w:usb3="00000000" w:csb0="00040000" w:csb1="00000000"/>
  </w:font>
  <w:font w:name="Times New Roman">
    <w:panose1 w:val="02020603050405020304"/>
    <w:charset w:val="86"/>
    <w:family w:val="roman"/>
    <w:pitch w:val="variable"/>
    <w:sig w:usb0="E0002EFF" w:usb1="C000785B" w:usb2="00000009" w:usb3="00000000" w:csb0="400001FF" w:csb1="FFFF0000"/>
  </w:font>
  <w:font w:name="仿宋_GB2312">
    <w:altName w:val="仿宋"/>
    <w:panose1 w:val="00000000000000000000"/>
    <w:charset w:val="86"/>
    <w:family w:val="modern"/>
    <w:pitch w:val="variable"/>
    <w:sig w:usb0="00000000" w:usb1="00000000" w:usb2="00000010" w:usb3="00000000" w:csb0="00040000" w:csb1="00000000"/>
  </w:font>
  <w:font w:name="黑体">
    <w:panose1 w:val="02010609060101010101"/>
    <w:charset w:val="86"/>
    <w:family w:val="auto"/>
    <w:pitch w:val="variable"/>
    <w:sig w:usb0="800002BF" w:usb1="38CF7CFA" w:usb2="00000016" w:usb3="00000000" w:csb0="00040001" w:csb1="00000000"/>
  </w:font>
  <w:font w:name="楷体_GB2312">
    <w:altName w:val="楷体"/>
    <w:panose1 w:val="00000000000000000000"/>
    <w:charset w:val="86"/>
    <w:family w:val="modern"/>
    <w:pitch w:val="variable"/>
    <w:sig w:usb0="00000000" w:usb1="00000000" w:usb2="00000010" w:usb3="00000000" w:csb0="00040000" w:csb1="00000000"/>
  </w:font>
  <w:font w:name="仿宋">
    <w:panose1 w:val="02010609060101010101"/>
    <w:charset w:val="86"/>
    <w:family w:val="modern"/>
    <w:pitch w:val="variable"/>
    <w:sig w:usb0="800002BF" w:usb1="38CF7CFA" w:usb2="00000016" w:usb3="00000000" w:csb0="00040001" w:csb1="00000000"/>
  </w:font>
  <w:font w:name="方正小标宋_GBK">
    <w:altName w:val="微软雅黑"/>
    <w:panose1 w:val="00000000000000000000"/>
    <w:charset w:val="86"/>
    <w:family w:val="script"/>
    <w:pitch w:val="variable"/>
    <w:sig w:usb0="00000000" w:usb1="00000000" w:usb2="00000010" w:usb3="00000000" w:csb0="00040000" w:csb1="00000000"/>
  </w:font>
  <w:font w:name="方正书宋_GBK">
    <w:altName w:val="微软雅黑"/>
    <w:panose1 w:val="00000000000000000000"/>
    <w:charset w:val="86"/>
    <w:family w:val="script"/>
    <w:pitch w:val="variable"/>
    <w:sig w:usb0="00000000" w:usb1="00000000" w:usb2="00000010" w:usb3="00000000" w:csb0="00040000" w:csb1="00000000"/>
  </w:font>
  <w:font w:name="宋体">
    <w:panose1 w:val="02010600030101010101"/>
    <w:charset w:val="86"/>
    <w:family w:val="auto"/>
    <w:pitch w:val="variable"/>
    <w:sig w:usb0="00000003" w:usb1="288F0000" w:usb2="00000006" w:usb3="00000000" w:csb0="00040001" w:csb1="00000000"/>
  </w:font>
  <w:font w:name="方正仿宋_GBK">
    <w:altName w:val="微软雅黑"/>
    <w:panose1 w:val="00000000000000000000"/>
    <w:charset w:val="86"/>
    <w:family w:val="script"/>
    <w:pitch w:val="variable"/>
    <w:sig w:usb0="00000000" w:usb1="00000000" w:usb2="00000010" w:usb3="00000000" w:csb0="00040000" w:csb1="00000000"/>
  </w:font>
  <w:font w:name="华文中宋">
    <w:panose1 w:val="02010600040101010101"/>
    <w:charset w:val="86"/>
    <w:family w:val="auto"/>
    <w:pitch w:val="variable"/>
    <w:sig w:usb0="00000287" w:usb1="080F0000" w:usb2="00000000" w:usb3="00000000" w:csb0="0004009F" w:csb1="DFD70000"/>
  </w:font>
  <w:font w:name="Calibri">
    <w:panose1 w:val="020F0502020204030204"/>
    <w:charset w:val="00"/>
    <w:family w:val="swiss"/>
    <w:pitch w:val="variable"/>
    <w:sig w:usb0="E0002AFF" w:usb1="C000247B" w:usb2="00000009" w:usb3="00000000" w:csb0="200001FF" w:csb1="00000000"/>
  </w:font>
  <w:font w:name="Arial">
    <w:panose1 w:val="020B0604020202020204"/>
    <w:charset w:val="01"/>
    <w:family w:val="swiss"/>
    <w:pitch w:val="variable"/>
    <w:sig w:usb0="E0002EFF" w:usb1="C0007843" w:usb2="00000009" w:usb3="00000000" w:csb0="400001FF" w:csb1="FFFF0000"/>
  </w:font>
  <w:font w:name="Tahoma">
    <w:panose1 w:val="020B0604030504040204"/>
    <w:charset w:val="00"/>
    <w:family w:val="swiss"/>
    <w:pitch w:val="variable"/>
    <w:sig w:usb0="E1002EFF" w:usb1="C000605B" w:usb2="00000029" w:usb3="00000000" w:csb0="200101FF" w:csb1="2028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sdt>
    <w:sdtPr>
      <w:id w:val="415966764"/>
      <w:docPartList>
        <w:docPartGallery w:val="autotext"/>
      </w:docPartList>
    </w:sdtPr>
    <w:sdtContent>
      <w:p>
        <w:pPr>
          <w:pStyle w:val="16"/>
          <w:tabs>
            <w:tab w:val="center" w:pos="4153"/>
            <w:tab w:val="right" w:pos="8306"/>
          </w:tabs>
          <w:jc w:val="center"/>
        </w:pPr>
        <w:r>
          <w:rPr>
            <w:sz w:val="28"/>
          </w:rPr>
          <w:fldChar w:fldCharType="begin"/>
        </w:r>
        <w:r>
          <w:rPr>
            <w:sz w:val="28"/>
          </w:rPr>
          <w:instrText>PAGE   \* MERGEFORMAT</w:instrText>
        </w:r>
        <w:r>
          <w:rPr>
            <w:sz w:val="28"/>
          </w:rPr>
          <w:fldChar w:fldCharType="separate"/>
        </w:r>
        <w:r>
          <w:rPr>
            <w:sz w:val="28"/>
            <w:lang w:val="zh-CN"/>
          </w:rPr>
          <w:t>6</w:t>
        </w:r>
        <w:r>
          <w:rPr>
            <w:sz w:val="28"/>
          </w:rPr>
          <w:fldChar w:fldCharType="end"/>
        </w:r>
      </w:p>
    </w:sdtContent>
  </w:sdt>
  <w:p>
    <w:pPr>
      <w:pStyle w:val="16"/>
      <w:tabs>
        <w:tab w:val="center" w:pos="4153"/>
        <w:tab w:val="right" w:pos="8306"/>
      </w:tabs>
    </w:pPr>
  </w:p>
</w:ft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F53B0C16"/>
    <w:multiLevelType w:val="singleLevel"/>
    <w:tmpl w:val="F53B0C16"/>
    <w:lvl w:ilvl="0">
      <w:start w:val="2"/>
      <w:numFmt w:val="chineseCounting"/>
      <w:lvlRestart w:val="0"/>
      <w:suff w:val="space"/>
      <w:lvlText w:val="第%1部分"/>
      <w:lvlJc w:val="left"/>
      <w:pPr>
        <w:ind w:left="0" w:hanging="0"/>
      </w:pPr>
      <w:rPr>
        <w:rFonts w:hint="eastAsia"/>
      </w:rPr>
    </w:lvl>
  </w:abstractNum>
  <w:num w:numId="1">
    <w:abstractNumId w:val="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90"/>
  <w:bordersDoNotSurroundHeader/>
  <w:bordersDoNotSurroundFooter/>
  <w:documentProtection w:edit="readOnly"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compatSetting w:name="compatibilityMode" w:uri="http://schemas.microsoft.com/office/word" w:val="12"/>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Arial" w:hAnsi="Calibri"/>
      <w:kern w:val="2"/>
      <w:sz w:val="21"/>
      <w:szCs w:val="22"/>
      <w:lang w:val="en-US" w:eastAsia="zh-CN" w:bidi="ar-SA"/>
    </w:rPr>
  </w:style>
  <w:style w:type="paragraph" w:styleId="1">
    <w:name w:val="heading 1"/>
    <w:basedOn w:val="0"/>
    <w:next w:val="0"/>
    <w:pPr>
      <w:keepNext/>
      <w:keepLines/>
      <w:spacing w:before="340" w:after="330" w:line="578" w:lineRule="auto"/>
      <w:outlineLvl w:val="0"/>
    </w:pPr>
    <w:rPr>
      <w:b/>
      <w:bCs/>
      <w:kern w:val="44"/>
      <w:sz w:val="44"/>
      <w:szCs w:val="44"/>
    </w:rPr>
  </w:style>
  <w:style w:type="paragraph" w:styleId="2">
    <w:name w:val="heading 2"/>
    <w:basedOn w:val="0"/>
    <w:next w:val="0"/>
    <w:pPr>
      <w:keepNext/>
      <w:keepLines/>
      <w:spacing w:before="260" w:after="260" w:line="415" w:lineRule="auto"/>
      <w:outlineLvl w:val="1"/>
    </w:pPr>
    <w:rPr>
      <w:rFonts w:ascii="Times New Roman" w:eastAsia="黑体" w:hAnsi="Times New Roman"/>
      <w:b/>
      <w:bCs/>
      <w:sz w:val="32"/>
      <w:szCs w:val="32"/>
    </w:rPr>
  </w:style>
  <w:style w:type="paragraph" w:styleId="3">
    <w:name w:val="heading 3"/>
    <w:basedOn w:val="0"/>
    <w:next w:val="0"/>
    <w:pPr>
      <w:keepNext/>
      <w:keepLines/>
      <w:spacing w:before="260" w:after="260" w:line="415" w:lineRule="auto"/>
      <w:outlineLvl w:val="2"/>
    </w:pPr>
    <w:rPr>
      <w:b/>
      <w:bCs/>
      <w:sz w:val="32"/>
      <w:szCs w:val="32"/>
    </w:rPr>
  </w:style>
  <w:style w:type="character" w:default="1" w:styleId="10">
    <w:name w:val="Default Paragraph Font"/>
  </w:style>
  <w:style w:type="paragraph" w:styleId="15">
    <w:name w:val="Balloon Text"/>
    <w:basedOn w:val="0"/>
    <w:rPr>
      <w:sz w:val="18"/>
      <w:szCs w:val="18"/>
    </w:rPr>
  </w:style>
  <w:style w:type="paragraph" w:styleId="16">
    <w:name w:val="footer"/>
    <w:basedOn w:val="0"/>
    <w:pPr>
      <w:tabs>
        <w:tab w:val="center" w:pos="4153"/>
        <w:tab w:val="right" w:pos="8306"/>
      </w:tabs>
      <w:snapToGrid w:val="0"/>
      <w:jc w:val="left"/>
    </w:pPr>
    <w:rPr>
      <w:rFonts w:ascii="Times New Roman" w:eastAsia="宋体" w:cs="Times New Roman" w:hAnsi="Times New Roman"/>
      <w:sz w:val="18"/>
      <w:szCs w:val="18"/>
    </w:rPr>
  </w:style>
  <w:style w:type="paragraph" w:styleId="17">
    <w:name w:val="header"/>
    <w:basedOn w:val="0"/>
    <w:pPr>
      <w:pBdr>
        <w:bottom w:val="single" w:sz="6" w:space="1" w:color="auto"/>
      </w:pBdr>
      <w:tabs>
        <w:tab w:val="center" w:pos="4153"/>
        <w:tab w:val="right" w:pos="8306"/>
      </w:tabs>
      <w:snapToGrid w:val="0"/>
      <w:jc w:val="center"/>
    </w:pPr>
    <w:rPr>
      <w:rFonts w:ascii="Times New Roman" w:eastAsia="宋体" w:cs="Times New Roman" w:hAnsi="Times New Roman"/>
      <w:sz w:val="18"/>
      <w:szCs w:val="18"/>
    </w:rPr>
  </w:style>
  <w:style w:type="paragraph" w:styleId="18">
    <w:name w:val="toc 1"/>
    <w:basedOn w:val="0"/>
    <w:next w:val="0"/>
    <w:rPr>
      <w:rFonts w:ascii="Times New Roman" w:eastAsia="宋体" w:cs="Times New Roman" w:hAnsi="Times New Roman"/>
      <w:szCs w:val="24"/>
    </w:rPr>
  </w:style>
  <w:style w:type="paragraph" w:styleId="19">
    <w:name w:val="toc 2"/>
    <w:basedOn w:val="0"/>
    <w:next w:val="0"/>
    <w:pPr>
      <w:ind w:leftChars="200" w:left="200"/>
    </w:pPr>
    <w:rPr>
      <w:rFonts w:ascii="Times New Roman" w:eastAsia="宋体" w:cs="Times New Roman" w:hAnsi="Times New Roman"/>
      <w:szCs w:val="24"/>
    </w:rPr>
  </w:style>
  <w:style w:type="paragraph" w:styleId="20">
    <w:name w:val="Normal (Web)"/>
    <w:basedOn w:val="0"/>
    <w:pPr>
      <w:jc w:val="left"/>
    </w:pPr>
    <w:rPr>
      <w:sz w:val="24"/>
    </w:rPr>
  </w:style>
  <w:style w:type="character" w:styleId="21">
    <w:name w:val="page number"/>
    <w:basedOn w:val="10"/>
    <w:rPr>
      <w:sz w:val="24"/>
    </w:rPr>
  </w:style>
  <w:style w:type="character" w:styleId="22">
    <w:name w:val="FollowedHyperlink"/>
    <w:basedOn w:val="10"/>
    <w:rPr>
      <w:color w:val="800080"/>
      <w:sz w:val="24"/>
    </w:rPr>
  </w:style>
  <w:style w:type="character" w:styleId="23">
    <w:name w:val="Hyperlink"/>
    <w:basedOn w:val="10"/>
    <w:rPr>
      <w:color w:val="0000FF"/>
      <w:sz w:val="24"/>
    </w:rPr>
  </w:style>
  <w:style w:type="paragraph" w:customStyle="1" w:styleId="24">
    <w:name w:val="Default"/>
    <w:pPr>
      <w:widowControl w:val="0"/>
      <w:autoSpaceDE w:val="0"/>
      <w:autoSpaceDN w:val="0"/>
      <w:adjustRightInd w:val="0"/>
    </w:pPr>
    <w:rPr>
      <w:rFonts w:ascii="Times New Roman" w:eastAsia="宋体" w:cs="Times New Roman" w:hAnsi="Times New Roman"/>
      <w:color w:val="000000"/>
      <w:kern w:val="0"/>
      <w:sz w:val="24"/>
      <w:szCs w:val="24"/>
      <w:lang w:val="en-US" w:eastAsia="zh-CN" w:bidi="ar-SA"/>
    </w:rPr>
  </w:style>
  <w:style w:type="paragraph" w:customStyle="1" w:styleId="25">
    <w:name w:val="Char"/>
    <w:basedOn w:val="0"/>
    <w:rPr>
      <w:rFonts w:ascii="Tahoma" w:eastAsia="宋体" w:cs="Times New Roman" w:hAnsi="Tahoma"/>
      <w:sz w:val="24"/>
      <w:szCs w:val="24"/>
    </w:rPr>
  </w:style>
  <w:style w:type="paragraph" w:customStyle="1" w:styleId="26">
    <w:name w:val="[Normal]"/>
    <w:pPr>
      <w:widowControl w:val="0"/>
      <w:autoSpaceDE w:val="0"/>
      <w:autoSpaceDN w:val="0"/>
      <w:adjustRightInd w:val="0"/>
    </w:pPr>
    <w:rPr>
      <w:rFonts w:ascii="宋体" w:eastAsia="宋体" w:cs="Times New Roman"/>
      <w:sz w:val="24"/>
      <w:szCs w:val="20"/>
    </w:rPr>
  </w:style>
  <w:style w:type="character" w:customStyle="1" w:styleId="27">
    <w:name w:val="批注框文本 Char"/>
    <w:basedOn w:val="10"/>
    <w:rPr>
      <w:sz w:val="18"/>
    </w:rPr>
  </w:style>
  <w:style w:type="character" w:customStyle="1" w:styleId="28">
    <w:name w:val="页脚 Char"/>
    <w:basedOn w:val="10"/>
    <w:rPr>
      <w:sz w:val="18"/>
    </w:rPr>
  </w:style>
  <w:style w:type="character" w:customStyle="1" w:styleId="29">
    <w:name w:val="页眉 Char"/>
    <w:basedOn w:val="10"/>
    <w:rPr>
      <w:sz w:val="18"/>
    </w:rPr>
  </w:style>
  <w:style w:type="character" w:customStyle="1" w:styleId="30">
    <w:name w:val="font41"/>
    <w:basedOn w:val="10"/>
    <w:rPr>
      <w:rFonts w:ascii="宋体" w:eastAsia="宋体"/>
      <w:b/>
      <w:color w:val="000000"/>
      <w:sz w:val="20"/>
    </w:rPr>
  </w:style>
  <w:style w:type="paragraph" w:customStyle="1" w:styleId="31">
    <w:name w:val="ÆÕÍ¨(ÍøÕ¾)1"/>
    <w:basedOn w:val="0"/>
    <w:pPr>
      <w:widowControl w:val="0"/>
      <w:spacing w:before="100" w:after="100"/>
      <w:jc w:val="left"/>
    </w:pPr>
    <w:rPr>
      <w:sz w:val="24"/>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numbering" Target="numbering.xml"/><Relationship Id="rId5" Type="http://schemas.openxmlformats.org/officeDocument/2006/relationships/fontTable" Target="fontTable.xml"/></Relationships>
</file>

<file path=docProps/app.xml><?xml version="1.0" encoding="utf-8"?>
<Properties xmlns="http://schemas.openxmlformats.org/officeDocument/2006/extended-properties">
  <Template>Normal.eit</Template>
  <TotalTime>13</TotalTime>
  <Application>Yozo_Office27021597764231179</Application>
  <Pages>32</Pages>
  <Words>17552</Words>
  <Characters>19226</Characters>
  <Lines>318</Lines>
  <Paragraphs>1512</Paragraphs>
  <CharactersWithSpaces>19279</CharactersWithSpaces>
  <Company>Microsoft</Company>
</Properties>
</file>

<file path=docProps/core.xml><?xml version="1.0" encoding="utf-8"?>
<cp:coreProperties xmlns:cp="http://schemas.openxmlformats.org/package/2006/metadata/core-properties" xmlns:dc="http://purl.org/dc/elements/1.1/" xmlns:dcterms="http://purl.org/dc/terms/" xmlns:xsi="http://www.w3.org/2001/XMLSchema-instance">
  <dc:creator>guest</dc:creator>
  <cp:lastModifiedBy>Administrator</cp:lastModifiedBy>
  <cp:revision>1407</cp:revision>
  <cp:lastPrinted>2018-02-28T01:51:00Z</cp:lastPrinted>
  <dcterms:created xsi:type="dcterms:W3CDTF">2017-10-26T06:45:00Z</dcterms:created>
  <dcterms:modified xsi:type="dcterms:W3CDTF">2022-09-08T01:26:51Z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2052-10.1.0.7400</vt:lpwstr>
  </property>
</Properties>
</file>