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简体" w:eastAsia="方正小标宋简体" w:cs="Times New Roman"/>
          <w:sz w:val="44"/>
          <w:szCs w:val="44"/>
        </w:rPr>
      </w:pPr>
      <w:bookmarkStart w:id="0" w:name="RANGE!A1:AH10"/>
      <w:bookmarkStart w:id="1" w:name="_GoBack"/>
      <w:bookmarkEnd w:id="0"/>
      <w:bookmarkEnd w:id="1"/>
      <w:r>
        <w:rPr>
          <w:rFonts w:ascii="方正小标宋简体" w:eastAsia="方正小标宋简体" w:cs="Times New Roman" w:hint="eastAsia"/>
          <w:sz w:val="44"/>
          <w:szCs w:val="44"/>
        </w:rPr>
        <w:t>霸州市</w:t>
      </w:r>
      <w:r>
        <w:rPr>
          <w:rFonts w:ascii="方正小标宋简体" w:eastAsia="方正小标宋简体" w:cs="Times New Roman" w:hint="eastAsia"/>
          <w:sz w:val="44"/>
          <w:szCs w:val="44"/>
          <w:lang w:val="en-US" w:eastAsia="zh-CN"/>
        </w:rPr>
        <w:t>发展和改革局</w:t>
      </w:r>
      <w:r>
        <w:rPr>
          <w:rFonts w:ascii="方正小标宋简体" w:eastAsia="方正小标宋简体" w:cs="Times New Roman" w:hint="eastAsia"/>
          <w:sz w:val="44"/>
          <w:szCs w:val="44"/>
        </w:rPr>
        <w:t>20</w:t>
      </w:r>
      <w:r>
        <w:rPr>
          <w:rFonts w:ascii="方正小标宋简体" w:eastAsia="方正小标宋简体" w:cs="Times New Roman"/>
          <w:sz w:val="44"/>
          <w:szCs w:val="44"/>
        </w:rPr>
        <w:t>2</w:t>
      </w:r>
      <w:r>
        <w:rPr>
          <w:rFonts w:ascii="方正小标宋简体" w:eastAsia="方正小标宋简体" w:cs="Times New Roman" w:hint="eastAsia"/>
          <w:sz w:val="44"/>
          <w:szCs w:val="44"/>
          <w:lang w:val="en-US" w:eastAsia="zh-CN"/>
        </w:rPr>
        <w:t>1</w:t>
      </w:r>
      <w:r>
        <w:rPr>
          <w:rFonts w:ascii="方正小标宋简体" w:eastAsia="方正小标宋简体" w:cs="Times New Roman" w:hint="eastAsia"/>
          <w:sz w:val="44"/>
          <w:szCs w:val="44"/>
        </w:rPr>
        <w:t>年部门预算信息公开</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按照《预算法》、《地方预决算公开操作规程》和《河北省省级预算公开办法》规定，现将</w:t>
      </w:r>
      <w:r>
        <w:rPr>
          <w:rFonts w:ascii="仿宋_GB2312" w:eastAsia="仿宋_GB2312" w:cs="Times New Roman" w:hint="eastAsia"/>
          <w:sz w:val="32"/>
          <w:szCs w:val="32"/>
          <w:lang w:val="en-US" w:eastAsia="zh-CN"/>
        </w:rPr>
        <w:t>霸州市发展和改革局</w:t>
      </w:r>
      <w:r>
        <w:rPr>
          <w:rFonts w:ascii="仿宋_GB2312" w:eastAsia="仿宋_GB2312" w:cs="Times New Roman" w:hint="eastAsia"/>
          <w:sz w:val="32"/>
          <w:szCs w:val="32"/>
        </w:rPr>
        <w:t>20</w:t>
      </w:r>
      <w:r>
        <w:rPr>
          <w:rFonts w:ascii="仿宋_GB2312" w:eastAsia="仿宋_GB2312" w:cs="Times New Roman"/>
          <w:sz w:val="32"/>
          <w:szCs w:val="32"/>
        </w:rPr>
        <w:t>2</w:t>
      </w:r>
      <w:r>
        <w:rPr>
          <w:rFonts w:ascii="仿宋_GB2312" w:eastAsia="仿宋_GB2312" w:cs="Times New Roman" w:hint="eastAsia"/>
          <w:sz w:val="32"/>
          <w:szCs w:val="32"/>
          <w:lang w:val="en-US" w:eastAsia="zh-CN"/>
        </w:rPr>
        <w:t>1</w:t>
      </w:r>
      <w:r>
        <w:rPr>
          <w:rFonts w:ascii="仿宋_GB2312" w:eastAsia="仿宋_GB2312" w:cs="Times New Roman" w:hint="eastAsia"/>
          <w:sz w:val="32"/>
          <w:szCs w:val="32"/>
        </w:rPr>
        <w:t>年部门预算公开如下：</w:t>
      </w:r>
    </w:p>
    <w:p>
      <w:pPr>
        <w:ind w:firstLineChars="200" w:firstLine="640"/>
        <w:rPr>
          <w:rFonts w:ascii="黑体" w:eastAsia="黑体" w:cs="Times New Roman"/>
          <w:sz w:val="32"/>
          <w:szCs w:val="32"/>
        </w:rPr>
      </w:pPr>
      <w:r>
        <w:rPr>
          <w:rFonts w:ascii="黑体" w:eastAsia="黑体" w:cs="Times New Roman" w:hint="eastAsia"/>
          <w:sz w:val="32"/>
          <w:szCs w:val="32"/>
        </w:rPr>
        <w:t>一、部门职责及机构设置情况</w:t>
      </w:r>
    </w:p>
    <w:p>
      <w:pPr>
        <w:ind w:firstLineChars="200" w:firstLine="640"/>
        <w:rPr>
          <w:rFonts w:ascii="楷体_GB2312" w:eastAsia="楷体_GB2312" w:cs="Times New Roman" w:hint="eastAsia"/>
          <w:b/>
          <w:sz w:val="32"/>
          <w:szCs w:val="32"/>
        </w:rPr>
      </w:pPr>
      <w:r>
        <w:rPr>
          <w:rFonts w:ascii="楷体_GB2312" w:eastAsia="楷体_GB2312" w:cs="Times New Roman" w:hint="eastAsia"/>
          <w:b/>
          <w:sz w:val="32"/>
          <w:szCs w:val="32"/>
        </w:rPr>
        <w:t>部门职责：</w:t>
      </w:r>
    </w:p>
    <w:p>
      <w:pPr>
        <w:ind w:firstLineChars="200" w:firstLine="640"/>
        <w:rPr>
          <w:rFonts w:ascii="仿宋_GB2312" w:eastAsia="仿宋_GB2312" w:hint="eastAsia"/>
          <w:sz w:val="32"/>
          <w:szCs w:val="32"/>
          <w:lang w:val="en-US" w:eastAsia="zh-CN"/>
        </w:rPr>
      </w:pPr>
      <w:r>
        <w:rPr>
          <w:rFonts w:ascii="仿宋_GB2312" w:eastAsia="仿宋_GB2312" w:hint="eastAsia"/>
          <w:sz w:val="32"/>
          <w:szCs w:val="32"/>
        </w:rPr>
        <w:t>根据《</w:t>
      </w:r>
      <w:r>
        <w:rPr>
          <w:rFonts w:ascii="仿宋_GB2312" w:eastAsia="仿宋_GB2312" w:hint="eastAsia"/>
          <w:sz w:val="32"/>
          <w:szCs w:val="32"/>
          <w:lang w:val="en-US" w:eastAsia="zh-CN"/>
        </w:rPr>
        <w:t>霸州市发展和改革局职能配置、内设机构和人员编制规定》，霸州市发展和改革局主要职责是：</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一）拟订并组织实施全市国民经济和社会发展战略、中长期规划和年度计划。牵头组织统一规划体系建设。负责市级专项规划、区域规划、空间规划与我市发展规划的统筹衔接。起草国民经济和社会发展、经济体制改革和对外开放的有关法规草案，制定规范性文件。</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（二）提出加快建设全市现代化经济体系、推动高质量发展的总体目标、重大任务及相关政策。组织开展重大战略规划、重大政策、重大工程等的评估督导，提出相关调整建议。</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三）贯彻落实国家宏观调控政策,统筹提出全市国民经济和社会发展主要目标,监测预测预警宏观经济和社会发展态势趋势,提岀经济调节政策建议。综合协调经济调节政策,牵头研究应对措施。调节经济运行,协调解决经济运行中的重大问题。拟订并组织实施有关价格政策,组织制定由县级管理的重要商品、服务价格和重要收费标准。参与贯彻落实省、市财政政策、货币政策和土地政策。</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四)指导推进和综合协调经济体制改革有关工作,提出相关改革建议。牵头推进供给侧结构性改革。协调推进产权制度和要素市场化配置改革。落实完善基本经济制度政策,推动现代化市场体系建设,会同有关部门组织实施市场准入负面清单制度。牵头推进优化营商环境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(五)提出全市利用外资和境外投资的战略、规划、总量平衡和结构优化政策。会同有关部门贯彻落实省、市外商投资准入负面清单。负责全市全口径外债的总量控制、结构优化和监测工作。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六)负责全市投资综合管理。拟订全市固定资产投资总规模、结构调控目标和政策,会同相关部门拟订政府投资项目审批权限的固定资产投资项目目录。安排市级预算内基本建设资金和有关发展性专项资金,按规定杈限审批项目。规划全市重点建设项目和生产力布局,组织推动重点建设项目。拟订并推动落实鼓励民间投资政策措施。</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（七）推进落实区域协调发展战略、新型城镇化战略和重大政策,组织拟订相关区域规划和政策。推进实施京津冀协同发展等区域发展战略。组织编制并推动实施新型城镇化规划。</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八)组织贯彻实施省、市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九)推动实施全市创新驱动发展战略。会同相关部门拟订全市推进创新创业的规划和政策,提出创新发展和培育经济发展新动能的政策。会同相关部门规划布局重大科技基础设施。组织拟订并推动实施高技术产业和战略性新兴产业及数字经济发展规划政策,协调产业升级、重大技术装备推广应用等方面的重大问题。</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十）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十一)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十二)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(十三)组织拟订推进全市经济建设与国防建设协调发展的战略和规划,组织推进经济建设项目贯彻国防要求。</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(十四)承担市委财经委员会、市推进京津冀协同发展工作领导小组、市重点建设领导小组等有关具体工作。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_GB2312" w:eastAsia="仿宋_GB2312" w:cs="仿宋_GB2312"/>
          <w:sz w:val="32"/>
          <w:szCs w:val="32"/>
        </w:rPr>
      </w:pPr>
      <w:r>
        <w:rPr>
          <w:rFonts w:ascii="仿宋" w:eastAsia="仿宋" w:hint="eastAsia"/>
          <w:color w:val="000000"/>
          <w:sz w:val="32"/>
          <w:szCs w:val="32"/>
        </w:rPr>
        <w:t>（十五）</w:t>
      </w:r>
      <w:r>
        <w:rPr>
          <w:rFonts w:ascii="仿宋_GB2312" w:eastAsia="仿宋_GB2312" w:cs="仿宋_GB2312" w:hint="eastAsia"/>
          <w:sz w:val="32"/>
          <w:szCs w:val="32"/>
        </w:rPr>
        <w:t>组织落实国家、省有关粮食流通和物资储备的法律、法规和政策。落实国家、省粮食行业发展规划和政策，制定全市粮食行业发展规划并组织实施。拟订全市粮食流通、市级粮食储备和物资储备的政策和规章制度并组织实施。承担全市粮食流通宏观调控，落实国家粮食购销政策，组织实施县级粮食、食糖和救灾物资等物资的收储、轮换和日常管理，落实有关动用计划和指令。贯彻落实国家粮食和物资储备仓储管理有关技术标准和规范。指导全市粮食流通和物资储备体制改革。承担粮食安全责任制考核日常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hint="eastAsia"/>
          <w:color w:val="000000"/>
          <w:sz w:val="32"/>
          <w:szCs w:val="32"/>
        </w:rPr>
      </w:pPr>
      <w:r>
        <w:rPr>
          <w:rFonts w:ascii="仿宋" w:eastAsia="仿宋" w:hint="eastAsia"/>
          <w:color w:val="000000"/>
          <w:sz w:val="32"/>
          <w:szCs w:val="32"/>
        </w:rPr>
        <w:t>（十六）</w:t>
      </w:r>
      <w:r>
        <w:rPr>
          <w:rFonts w:ascii="仿宋_GB2312" w:eastAsia="仿宋_GB2312" w:hint="eastAsia"/>
          <w:sz w:val="32"/>
          <w:szCs w:val="32"/>
        </w:rPr>
        <w:t>提出能源发展战略的建议，拟订能源发展规划、产业政策和年度指导计划并组织实施。起草有关能源行业的地方性法规和规章草案。推进能源体制改革，拟订有关改革方案并组织实施。协调能源发展和改革中的重大问题。组织实施煤炭、石油、天然气、电力(核电)、新能源和可再生能源等能源，以及煤制燃料和生物质液体等燃料的产业政策和相关标准。指导协调农村能源发展工作。组织推进能源重大设备研发，指导能源科技进步、成套设备的引进消化创新，组织协调相关示范工程和推广应用新产品、新技术、新设备。负责能源行业节能和资源综合利用。参与研究能源消费总量控制目标建议，指导、监督能源消费总量控制有关工作，街接能源生产建设和供需平衡。负责能源预测预警。发布能源信息，参与能源运行调节和应急保障。监管油气、新能源市场运行，规范能源市场秩序。监管油气管网设施的公平开放，参与电力市场的监管。参与制定与能源相关的资源、财税、环保及应对气候变化等政策，提出能源价格调整建议。</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color w:val="000000"/>
          <w:sz w:val="32"/>
          <w:szCs w:val="32"/>
        </w:rPr>
      </w:pPr>
      <w:r>
        <w:rPr>
          <w:rFonts w:ascii="仿宋" w:eastAsia="仿宋" w:hint="eastAsia"/>
          <w:color w:val="000000"/>
          <w:sz w:val="32"/>
          <w:szCs w:val="32"/>
        </w:rPr>
        <w:t>（十七）负责全市口岸规划、建设、开放和管理工作。</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仿宋" w:eastAsia="仿宋"/>
          <w:color w:val="000000"/>
          <w:sz w:val="32"/>
          <w:szCs w:val="32"/>
        </w:rPr>
      </w:pPr>
      <w:r>
        <w:rPr>
          <w:rFonts w:ascii="仿宋" w:eastAsia="仿宋" w:hint="eastAsia"/>
          <w:color w:val="000000"/>
          <w:sz w:val="32"/>
          <w:szCs w:val="32"/>
        </w:rPr>
        <w:t>（十八）完成市委、市政府交办的其他任务。</w:t>
      </w:r>
    </w:p>
    <w:p>
      <w:pPr>
        <w:autoSpaceDE w:val="0"/>
        <w:autoSpaceDN w:val="0"/>
        <w:adjustRightInd w:val="0"/>
        <w:ind w:firstLineChars="200" w:firstLine="640"/>
        <w:jc w:val="left"/>
        <w:rPr>
          <w:rFonts w:ascii="楷体_GB2312" w:eastAsia="楷体_GB2312" w:cs="Times New Roman" w:hint="eastAsia"/>
          <w:b/>
          <w:sz w:val="32"/>
          <w:szCs w:val="32"/>
        </w:rPr>
      </w:pPr>
    </w:p>
    <w:p>
      <w:pPr>
        <w:autoSpaceDE w:val="0"/>
        <w:autoSpaceDN w:val="0"/>
        <w:adjustRightInd w:val="0"/>
        <w:ind w:firstLineChars="200" w:firstLine="640"/>
        <w:jc w:val="left"/>
        <w:rPr>
          <w:rFonts w:ascii="楷体_GB2312" w:eastAsia="楷体_GB2312" w:cs="Times New Roman"/>
          <w:b/>
          <w:sz w:val="32"/>
          <w:szCs w:val="32"/>
        </w:rPr>
      </w:pPr>
      <w:r>
        <w:rPr>
          <w:rFonts w:ascii="楷体_GB2312" w:eastAsia="楷体_GB2312" w:cs="Times New Roman" w:hint="eastAsia"/>
          <w:b/>
          <w:sz w:val="32"/>
          <w:szCs w:val="32"/>
        </w:rPr>
        <w:t>机构设置：</w:t>
      </w:r>
    </w:p>
    <w:p>
      <w:pPr>
        <w:jc w:val="center"/>
        <w:outlineLvl w:val="0"/>
        <w:rPr>
          <w:rFonts w:ascii="Times New Roman" w:eastAsia="方正小标宋_GBK" w:cs="Times New Roman" w:hAnsi="Times New Roman"/>
          <w:sz w:val="32"/>
          <w:szCs w:val="24"/>
        </w:rPr>
      </w:pPr>
      <w:r>
        <w:rPr>
          <w:rFonts w:ascii="Times New Roman" w:eastAsia="方正小标宋_GBK" w:cs="Times New Roman" w:hAnsi="Times New Roman"/>
          <w:sz w:val="32"/>
          <w:szCs w:val="24"/>
        </w:rPr>
        <w:t>部门</w:t>
      </w:r>
      <w:r>
        <w:rPr>
          <w:rFonts w:ascii="Times New Roman" w:eastAsia="方正小标宋_GBK" w:cs="Times New Roman" w:hAnsi="Times New Roman" w:hint="eastAsia"/>
          <w:sz w:val="32"/>
          <w:szCs w:val="24"/>
        </w:rPr>
        <w:t>机构设置情况</w:t>
      </w:r>
    </w:p>
    <w:tbl>
      <w:tblPr>
        <w:jc w:val="center"/>
        <w:tblW w:w="12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11"/>
        <w:gridCol w:w="1866"/>
        <w:gridCol w:w="1536"/>
        <w:gridCol w:w="2642"/>
        <w:gridCol w:w="2640"/>
      </w:tblGrid>
      <w:tr>
        <w:trPr>
          <w:trHeight w:val="300"/>
          <w:tblHeader/>
        </w:trPr>
        <w:tc>
          <w:tcPr>
            <w:tcW w:w="371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单位名称</w:t>
            </w:r>
          </w:p>
        </w:tc>
        <w:tc>
          <w:tcPr>
            <w:tcW w:w="186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单位性质</w:t>
            </w:r>
          </w:p>
        </w:tc>
        <w:tc>
          <w:tcPr>
            <w:tcW w:w="153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单位规格</w:t>
            </w:r>
          </w:p>
        </w:tc>
        <w:tc>
          <w:tcPr>
            <w:tcW w:w="264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经费保障形式</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b/>
                <w:szCs w:val="24"/>
              </w:rPr>
            </w:pPr>
          </w:p>
        </w:tc>
      </w:tr>
      <w:tr>
        <w:trPr>
          <w:trHeight w:val="300"/>
          <w:tblHeader/>
        </w:trPr>
        <w:tc>
          <w:tcPr>
            <w:tcW w:w="371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86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53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64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outlineLvl w:val="0"/>
              <w:rPr>
                <w:rFonts w:ascii="Times New Roman" w:eastAsia="宋体" w:cs="Times New Roman" w:hAnsi="Times New Roman"/>
                <w:szCs w:val="24"/>
              </w:rPr>
            </w:pPr>
          </w:p>
        </w:tc>
      </w:tr>
      <w:tr>
        <w:trPr>
          <w:trHeight w:val="227"/>
        </w:trPr>
        <w:tc>
          <w:tcPr>
            <w:tcW w:w="371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szCs w:val="24"/>
              </w:rPr>
            </w:pPr>
            <w:r>
              <w:rPr>
                <w:rFonts w:ascii="Times New Roman" w:eastAsia="方正书宋_GBK" w:cs="Times New Roman" w:hAnsi="Times New Roman" w:hint="eastAsia"/>
                <w:szCs w:val="24"/>
              </w:rPr>
              <w:t>霸州市发展</w:t>
            </w:r>
            <w:r>
              <w:rPr>
                <w:rFonts w:ascii="Times New Roman" w:eastAsia="方正书宋_GBK" w:cs="Times New Roman" w:hAnsi="Times New Roman" w:hint="eastAsia"/>
                <w:szCs w:val="24"/>
                <w:lang w:val="en-US" w:eastAsia="zh-CN"/>
              </w:rPr>
              <w:t>和</w:t>
            </w:r>
            <w:r>
              <w:rPr>
                <w:rFonts w:ascii="Times New Roman" w:eastAsia="方正书宋_GBK" w:cs="Times New Roman" w:hAnsi="Times New Roman" w:hint="eastAsia"/>
                <w:szCs w:val="24"/>
              </w:rPr>
              <w:t>改革局</w:t>
            </w:r>
          </w:p>
        </w:tc>
        <w:tc>
          <w:tcPr>
            <w:tcW w:w="186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szCs w:val="24"/>
              </w:rPr>
            </w:pPr>
            <w:r>
              <w:rPr>
                <w:rFonts w:ascii="Times New Roman" w:eastAsia="方正书宋_GBK" w:cs="Times New Roman" w:hAnsi="Times New Roman" w:hint="eastAsia"/>
                <w:szCs w:val="24"/>
              </w:rPr>
              <w:t>行政</w:t>
            </w:r>
          </w:p>
        </w:tc>
        <w:tc>
          <w:tcPr>
            <w:tcW w:w="153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szCs w:val="24"/>
              </w:rPr>
            </w:pPr>
            <w:r>
              <w:rPr>
                <w:rFonts w:ascii="Times New Roman" w:eastAsia="方正书宋_GBK" w:cs="Times New Roman" w:hAnsi="Times New Roman" w:hint="eastAsia"/>
                <w:szCs w:val="24"/>
              </w:rPr>
              <w:t>正科级</w:t>
            </w:r>
          </w:p>
        </w:tc>
        <w:tc>
          <w:tcPr>
            <w:tcW w:w="2642"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szCs w:val="24"/>
              </w:rPr>
            </w:pPr>
            <w:r>
              <w:rPr>
                <w:rFonts w:ascii="Times New Roman" w:eastAsia="方正书宋_GBK" w:cs="Times New Roman" w:hAnsi="Times New Roman" w:hint="eastAsia"/>
                <w:szCs w:val="24"/>
              </w:rPr>
              <w:t>财政拨款</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hint="eastAsia"/>
                <w:szCs w:val="24"/>
              </w:rPr>
            </w:pPr>
          </w:p>
        </w:tc>
      </w:tr>
      <w:tr>
        <w:trPr>
          <w:trHeight w:val="227"/>
        </w:trPr>
        <w:tc>
          <w:tcPr>
            <w:tcW w:w="371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szCs w:val="24"/>
              </w:rPr>
            </w:pPr>
          </w:p>
        </w:tc>
        <w:tc>
          <w:tcPr>
            <w:tcW w:w="186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szCs w:val="24"/>
              </w:rPr>
            </w:pPr>
          </w:p>
        </w:tc>
        <w:tc>
          <w:tcPr>
            <w:tcW w:w="153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szCs w:val="24"/>
              </w:rPr>
            </w:pPr>
          </w:p>
        </w:tc>
        <w:tc>
          <w:tcPr>
            <w:tcW w:w="2642"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szCs w:val="24"/>
              </w:rPr>
            </w:pP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Times New Roman" w:eastAsia="方正书宋_GBK" w:cs="Times New Roman" w:hAnsi="Times New Roman"/>
                <w:szCs w:val="24"/>
              </w:rPr>
            </w:pPr>
          </w:p>
        </w:tc>
      </w:tr>
    </w:tbl>
    <w:p>
      <w:pPr>
        <w:spacing w:line="560" w:lineRule="exact"/>
        <w:rPr>
          <w:rFonts w:ascii="仿宋" w:eastAsia="仿宋"/>
          <w:b/>
          <w:color w:val="FF0000"/>
          <w:sz w:val="32"/>
          <w:szCs w:val="32"/>
        </w:rPr>
      </w:pPr>
    </w:p>
    <w:p>
      <w:pPr>
        <w:ind w:firstLineChars="200" w:firstLine="640"/>
        <w:rPr>
          <w:rFonts w:ascii="黑体" w:eastAsia="黑体" w:cs="Times New Roman"/>
          <w:sz w:val="32"/>
          <w:szCs w:val="32"/>
        </w:rPr>
      </w:pPr>
      <w:r>
        <w:rPr>
          <w:rFonts w:ascii="黑体" w:eastAsia="黑体" w:cs="Times New Roman" w:hint="eastAsia"/>
          <w:sz w:val="32"/>
          <w:szCs w:val="32"/>
        </w:rPr>
        <w:t>二、部门预算安排的总体情况</w:t>
      </w:r>
    </w:p>
    <w:p>
      <w:pPr>
        <w:ind w:firstLine="640"/>
        <w:rPr>
          <w:rFonts w:ascii="仿宋_GB2312" w:eastAsia="仿宋_GB2312" w:cs="Times New Roman"/>
          <w:sz w:val="32"/>
          <w:szCs w:val="32"/>
        </w:rPr>
      </w:pPr>
      <w:r>
        <w:rPr>
          <w:rFonts w:ascii="仿宋_GB2312" w:eastAsia="仿宋_GB2312" w:cs="Times New Roman" w:hint="eastAsia"/>
          <w:sz w:val="32"/>
          <w:szCs w:val="32"/>
        </w:rPr>
        <w:t>按照预算管理有关规定，目前我市部门预算的编制实行综合预算制度，即全部收入和支出都反映在预算中。因我部门除机关外，无其他下属预算单位，部门预算即为机关预算，不再单独公开机关预算和单位预算。</w:t>
      </w:r>
    </w:p>
    <w:p>
      <w:pPr>
        <w:ind w:firstLine="640"/>
        <w:rPr>
          <w:rFonts w:ascii="楷体_GB2312" w:eastAsia="楷体_GB2312" w:cs="Times New Roman"/>
          <w:b/>
          <w:sz w:val="32"/>
          <w:szCs w:val="32"/>
        </w:rPr>
      </w:pPr>
      <w:r>
        <w:rPr>
          <w:rFonts w:ascii="楷体_GB2312" w:eastAsia="楷体_GB2312" w:cs="Times New Roman" w:hint="eastAsia"/>
          <w:b/>
          <w:sz w:val="32"/>
          <w:szCs w:val="32"/>
        </w:rPr>
        <w:t>1、收入说明</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反映本部门当年全部收入。20</w:t>
      </w:r>
      <w:r>
        <w:rPr>
          <w:rFonts w:ascii="仿宋_GB2312" w:eastAsia="仿宋_GB2312" w:cs="Times New Roman"/>
          <w:sz w:val="32"/>
          <w:szCs w:val="32"/>
        </w:rPr>
        <w:t>2</w:t>
      </w:r>
      <w:r>
        <w:rPr>
          <w:rFonts w:ascii="仿宋_GB2312" w:eastAsia="仿宋_GB2312" w:cs="Times New Roman" w:hint="eastAsia"/>
          <w:sz w:val="32"/>
          <w:szCs w:val="32"/>
          <w:lang w:val="en-US" w:eastAsia="zh-CN"/>
        </w:rPr>
        <w:t>1</w:t>
      </w:r>
      <w:r>
        <w:rPr>
          <w:rFonts w:ascii="仿宋_GB2312" w:eastAsia="仿宋_GB2312" w:cs="Times New Roman" w:hint="eastAsia"/>
          <w:sz w:val="32"/>
          <w:szCs w:val="32"/>
        </w:rPr>
        <w:t>年预算收入</w:t>
      </w:r>
      <w:r>
        <w:rPr>
          <w:rFonts w:ascii="仿宋_GB2312" w:eastAsia="仿宋_GB2312" w:cs="Times New Roman" w:hint="eastAsia"/>
          <w:sz w:val="32"/>
          <w:szCs w:val="32"/>
          <w:lang w:val="en-US" w:eastAsia="zh-CN"/>
        </w:rPr>
        <w:t>4228.46</w:t>
      </w:r>
      <w:r>
        <w:rPr>
          <w:rFonts w:ascii="仿宋_GB2312" w:eastAsia="仿宋_GB2312" w:cs="Times New Roman" w:hint="eastAsia"/>
          <w:sz w:val="32"/>
          <w:szCs w:val="32"/>
        </w:rPr>
        <w:t>万元，其中：一般公共预算收入</w:t>
      </w:r>
      <w:r>
        <w:rPr>
          <w:rFonts w:ascii="仿宋_GB2312" w:eastAsia="仿宋_GB2312" w:cs="Times New Roman" w:hint="eastAsia"/>
          <w:sz w:val="32"/>
          <w:szCs w:val="32"/>
          <w:lang w:val="en-US" w:eastAsia="zh-CN"/>
        </w:rPr>
        <w:t>3728.46</w:t>
      </w:r>
      <w:r>
        <w:rPr>
          <w:rFonts w:ascii="仿宋_GB2312" w:eastAsia="仿宋_GB2312" w:cs="Times New Roman" w:hint="eastAsia"/>
          <w:sz w:val="32"/>
          <w:szCs w:val="32"/>
        </w:rPr>
        <w:t>万元，政府性基金预算收入</w:t>
      </w:r>
      <w:r>
        <w:rPr>
          <w:rFonts w:ascii="仿宋_GB2312" w:eastAsia="仿宋_GB2312" w:cs="Times New Roman" w:hint="eastAsia"/>
          <w:sz w:val="32"/>
          <w:szCs w:val="32"/>
          <w:lang w:val="en-US" w:eastAsia="zh-CN"/>
        </w:rPr>
        <w:t>500</w:t>
      </w:r>
      <w:r>
        <w:rPr>
          <w:rFonts w:ascii="仿宋_GB2312" w:eastAsia="仿宋_GB2312" w:cs="Times New Roman"/>
          <w:sz w:val="32"/>
          <w:szCs w:val="32"/>
        </w:rPr>
        <w:t>万元</w:t>
      </w:r>
      <w:r>
        <w:rPr>
          <w:rFonts w:ascii="仿宋_GB2312" w:eastAsia="仿宋_GB2312" w:cs="Times New Roman" w:hint="eastAsia"/>
          <w:sz w:val="32"/>
          <w:szCs w:val="32"/>
        </w:rPr>
        <w:t>，国有资本经营</w:t>
      </w:r>
      <w:r>
        <w:rPr>
          <w:rFonts w:ascii="仿宋_GB2312" w:eastAsia="仿宋_GB2312" w:cs="Times New Roman"/>
          <w:sz w:val="32"/>
          <w:szCs w:val="32"/>
        </w:rPr>
        <w:t>预算收入</w:t>
      </w:r>
      <w:r>
        <w:rPr>
          <w:rFonts w:ascii="仿宋_GB2312" w:eastAsia="仿宋_GB2312" w:cs="Times New Roman" w:hint="eastAsia"/>
          <w:sz w:val="32"/>
          <w:szCs w:val="32"/>
          <w:lang w:val="en-US" w:eastAsia="zh-CN"/>
        </w:rPr>
        <w:t>0</w:t>
      </w:r>
      <w:r>
        <w:rPr>
          <w:rFonts w:ascii="仿宋_GB2312" w:eastAsia="仿宋_GB2312" w:cs="Times New Roman"/>
          <w:sz w:val="32"/>
          <w:szCs w:val="32"/>
        </w:rPr>
        <w:t>万元</w:t>
      </w:r>
      <w:r>
        <w:rPr>
          <w:rFonts w:ascii="仿宋_GB2312" w:eastAsia="仿宋_GB2312" w:cs="Times New Roman" w:hint="eastAsia"/>
          <w:sz w:val="32"/>
          <w:szCs w:val="32"/>
        </w:rPr>
        <w:t>，</w:t>
      </w:r>
      <w:r>
        <w:rPr>
          <w:rFonts w:ascii="仿宋_GB2312" w:eastAsia="仿宋_GB2312" w:cs="Times New Roman"/>
          <w:sz w:val="32"/>
          <w:szCs w:val="32"/>
        </w:rPr>
        <w:t>上级补助收入</w:t>
      </w:r>
      <w:r>
        <w:rPr>
          <w:rFonts w:ascii="仿宋_GB2312" w:eastAsia="仿宋_GB2312" w:cs="Times New Roman" w:hint="eastAsia"/>
          <w:sz w:val="32"/>
          <w:szCs w:val="32"/>
          <w:lang w:val="en-US" w:eastAsia="zh-CN"/>
        </w:rPr>
        <w:t>0</w:t>
      </w:r>
      <w:r>
        <w:rPr>
          <w:rFonts w:ascii="仿宋_GB2312" w:eastAsia="仿宋_GB2312" w:cs="Times New Roman"/>
          <w:sz w:val="32"/>
          <w:szCs w:val="32"/>
        </w:rPr>
        <w:t>万元，</w:t>
      </w:r>
      <w:r>
        <w:rPr>
          <w:rFonts w:ascii="仿宋_GB2312" w:eastAsia="仿宋_GB2312" w:cs="Times New Roman" w:hint="eastAsia"/>
          <w:sz w:val="32"/>
          <w:szCs w:val="32"/>
        </w:rPr>
        <w:t>事业收入</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万元，经营</w:t>
      </w:r>
      <w:r>
        <w:rPr>
          <w:rFonts w:ascii="仿宋_GB2312" w:eastAsia="仿宋_GB2312" w:cs="Times New Roman"/>
          <w:sz w:val="32"/>
          <w:szCs w:val="32"/>
        </w:rPr>
        <w:t>收入</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万元，附属单位上缴</w:t>
      </w:r>
      <w:r>
        <w:rPr>
          <w:rFonts w:ascii="仿宋_GB2312" w:eastAsia="仿宋_GB2312" w:cs="Times New Roman"/>
          <w:sz w:val="32"/>
          <w:szCs w:val="32"/>
        </w:rPr>
        <w:t>收入</w:t>
      </w:r>
      <w:r>
        <w:rPr>
          <w:rFonts w:ascii="仿宋_GB2312" w:eastAsia="仿宋_GB2312" w:cs="Times New Roman" w:hint="eastAsia"/>
          <w:sz w:val="32"/>
          <w:szCs w:val="32"/>
          <w:lang w:val="en-US" w:eastAsia="zh-CN"/>
        </w:rPr>
        <w:t>0</w:t>
      </w:r>
      <w:r>
        <w:rPr>
          <w:rFonts w:ascii="仿宋_GB2312" w:eastAsia="仿宋_GB2312" w:cs="Times New Roman"/>
          <w:sz w:val="32"/>
          <w:szCs w:val="32"/>
        </w:rPr>
        <w:t>万元，</w:t>
      </w:r>
      <w:r>
        <w:rPr>
          <w:rFonts w:ascii="仿宋_GB2312" w:eastAsia="仿宋_GB2312" w:cs="Times New Roman" w:hint="eastAsia"/>
          <w:sz w:val="32"/>
          <w:szCs w:val="32"/>
        </w:rPr>
        <w:t>其他收入</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w:t>
      </w:r>
    </w:p>
    <w:p>
      <w:pPr>
        <w:ind w:firstLine="640"/>
        <w:rPr>
          <w:rFonts w:ascii="楷体_GB2312" w:eastAsia="楷体_GB2312" w:cs="Times New Roman"/>
          <w:b/>
          <w:sz w:val="32"/>
          <w:szCs w:val="32"/>
        </w:rPr>
      </w:pPr>
      <w:r>
        <w:rPr>
          <w:rFonts w:ascii="楷体_GB2312" w:eastAsia="楷体_GB2312" w:cs="Times New Roman" w:hint="eastAsia"/>
          <w:b/>
          <w:sz w:val="32"/>
          <w:szCs w:val="32"/>
        </w:rPr>
        <w:t>2、支出说明</w:t>
      </w:r>
    </w:p>
    <w:p>
      <w:pPr>
        <w:ind w:firstLine="640"/>
        <w:rPr>
          <w:rFonts w:ascii="仿宋_GB2312" w:eastAsia="仿宋_GB2312" w:cs="Times New Roman"/>
          <w:sz w:val="32"/>
          <w:szCs w:val="32"/>
        </w:rPr>
      </w:pPr>
      <w:r>
        <w:rPr>
          <w:rFonts w:ascii="仿宋_GB2312" w:eastAsia="仿宋_GB2312" w:cs="Times New Roman" w:hint="eastAsia"/>
          <w:sz w:val="32"/>
          <w:szCs w:val="32"/>
        </w:rPr>
        <w:t>收支预算总表支出栏、基本支出表、项目支出表按经济分类和支出功能分类科目编制，反映霸州市</w:t>
      </w:r>
      <w:r>
        <w:rPr>
          <w:rFonts w:ascii="仿宋_GB2312" w:eastAsia="仿宋_GB2312" w:cs="Times New Roman" w:hint="eastAsia"/>
          <w:sz w:val="32"/>
          <w:szCs w:val="32"/>
          <w:lang w:val="en-US" w:eastAsia="zh-CN"/>
        </w:rPr>
        <w:t>发展和改革局</w:t>
      </w:r>
      <w:r>
        <w:rPr>
          <w:rFonts w:ascii="仿宋_GB2312" w:eastAsia="仿宋_GB2312" w:cs="Times New Roman" w:hint="eastAsia"/>
          <w:sz w:val="32"/>
          <w:szCs w:val="32"/>
        </w:rPr>
        <w:t>20</w:t>
      </w:r>
      <w:r>
        <w:rPr>
          <w:rFonts w:ascii="仿宋_GB2312" w:eastAsia="仿宋_GB2312" w:cs="Times New Roman"/>
          <w:sz w:val="32"/>
          <w:szCs w:val="32"/>
        </w:rPr>
        <w:t>2</w:t>
      </w:r>
      <w:r>
        <w:rPr>
          <w:rFonts w:ascii="仿宋_GB2312" w:eastAsia="仿宋_GB2312" w:cs="Times New Roman" w:hint="eastAsia"/>
          <w:sz w:val="32"/>
          <w:szCs w:val="32"/>
          <w:lang w:val="en-US" w:eastAsia="zh-CN"/>
        </w:rPr>
        <w:t>1</w:t>
      </w:r>
      <w:r>
        <w:rPr>
          <w:rFonts w:ascii="仿宋_GB2312" w:eastAsia="仿宋_GB2312" w:cs="Times New Roman" w:hint="eastAsia"/>
          <w:sz w:val="32"/>
          <w:szCs w:val="32"/>
        </w:rPr>
        <w:t>年度部门预算中支出预算的总体情况。20</w:t>
      </w:r>
      <w:r>
        <w:rPr>
          <w:rFonts w:ascii="仿宋_GB2312" w:eastAsia="仿宋_GB2312" w:cs="Times New Roman"/>
          <w:sz w:val="32"/>
          <w:szCs w:val="32"/>
        </w:rPr>
        <w:t>2</w:t>
      </w:r>
      <w:r>
        <w:rPr>
          <w:rFonts w:ascii="仿宋_GB2312" w:eastAsia="仿宋_GB2312" w:cs="Times New Roman" w:hint="eastAsia"/>
          <w:sz w:val="32"/>
          <w:szCs w:val="32"/>
          <w:lang w:val="en-US" w:eastAsia="zh-CN"/>
        </w:rPr>
        <w:t>1</w:t>
      </w:r>
      <w:r>
        <w:rPr>
          <w:rFonts w:ascii="仿宋_GB2312" w:eastAsia="仿宋_GB2312" w:cs="Times New Roman" w:hint="eastAsia"/>
          <w:sz w:val="32"/>
          <w:szCs w:val="32"/>
        </w:rPr>
        <w:t>年本部门支出预算</w:t>
      </w:r>
      <w:r>
        <w:rPr>
          <w:rFonts w:ascii="仿宋_GB2312" w:eastAsia="仿宋_GB2312" w:cs="Times New Roman" w:hint="eastAsia"/>
          <w:sz w:val="32"/>
          <w:szCs w:val="32"/>
          <w:lang w:val="en-US" w:eastAsia="zh-CN"/>
        </w:rPr>
        <w:t>4228.46</w:t>
      </w:r>
      <w:r>
        <w:rPr>
          <w:rFonts w:ascii="仿宋_GB2312" w:eastAsia="仿宋_GB2312" w:cs="Times New Roman" w:hint="eastAsia"/>
          <w:sz w:val="32"/>
          <w:szCs w:val="32"/>
        </w:rPr>
        <w:t>万元，其中：基本支出</w:t>
      </w:r>
      <w:r>
        <w:rPr>
          <w:rFonts w:ascii="仿宋_GB2312" w:eastAsia="仿宋_GB2312" w:cs="Times New Roman" w:hint="eastAsia"/>
          <w:sz w:val="32"/>
          <w:szCs w:val="32"/>
          <w:lang w:val="en-US" w:eastAsia="zh-CN"/>
        </w:rPr>
        <w:t>1232.36</w:t>
      </w:r>
      <w:r>
        <w:rPr>
          <w:rFonts w:ascii="仿宋_GB2312" w:eastAsia="仿宋_GB2312" w:cs="Times New Roman" w:hint="eastAsia"/>
          <w:sz w:val="32"/>
          <w:szCs w:val="32"/>
        </w:rPr>
        <w:t>万元，包括：人员经费</w:t>
      </w:r>
      <w:r>
        <w:rPr>
          <w:rFonts w:ascii="仿宋_GB2312" w:eastAsia="仿宋_GB2312" w:cs="Times New Roman" w:hint="eastAsia"/>
          <w:sz w:val="32"/>
          <w:szCs w:val="32"/>
          <w:lang w:val="en-US" w:eastAsia="zh-CN"/>
        </w:rPr>
        <w:t>1117.11</w:t>
      </w:r>
      <w:r>
        <w:rPr>
          <w:rFonts w:ascii="仿宋_GB2312" w:eastAsia="仿宋_GB2312" w:cs="Times New Roman"/>
          <w:sz w:val="32"/>
          <w:szCs w:val="32"/>
        </w:rPr>
        <w:t>万元</w:t>
      </w:r>
      <w:r>
        <w:rPr>
          <w:rFonts w:ascii="仿宋_GB2312" w:eastAsia="仿宋_GB2312" w:cs="Times New Roman" w:hint="eastAsia"/>
          <w:sz w:val="32"/>
          <w:szCs w:val="32"/>
        </w:rPr>
        <w:t>和日常公用经费</w:t>
      </w:r>
      <w:r>
        <w:rPr>
          <w:rFonts w:ascii="仿宋_GB2312" w:eastAsia="仿宋_GB2312" w:cs="Times New Roman" w:hint="eastAsia"/>
          <w:sz w:val="32"/>
          <w:szCs w:val="32"/>
          <w:lang w:val="en-US" w:eastAsia="zh-CN"/>
        </w:rPr>
        <w:t>115.25</w:t>
      </w:r>
      <w:r>
        <w:rPr>
          <w:rFonts w:ascii="仿宋_GB2312" w:eastAsia="仿宋_GB2312" w:cs="Times New Roman"/>
          <w:sz w:val="32"/>
          <w:szCs w:val="32"/>
        </w:rPr>
        <w:t>万元</w:t>
      </w:r>
      <w:r>
        <w:rPr>
          <w:rFonts w:ascii="仿宋_GB2312" w:eastAsia="仿宋_GB2312" w:cs="Times New Roman" w:hint="eastAsia"/>
          <w:sz w:val="32"/>
          <w:szCs w:val="32"/>
        </w:rPr>
        <w:t>；项目支出</w:t>
      </w:r>
      <w:r>
        <w:rPr>
          <w:rFonts w:ascii="仿宋_GB2312" w:eastAsia="仿宋_GB2312" w:cs="Times New Roman" w:hint="eastAsia"/>
          <w:sz w:val="32"/>
          <w:szCs w:val="32"/>
          <w:lang w:val="en-US" w:eastAsia="zh-CN"/>
        </w:rPr>
        <w:t>2496.10</w:t>
      </w:r>
      <w:r>
        <w:rPr>
          <w:rFonts w:ascii="仿宋_GB2312" w:eastAsia="仿宋_GB2312" w:cs="Times New Roman" w:hint="eastAsia"/>
          <w:sz w:val="32"/>
          <w:szCs w:val="32"/>
        </w:rPr>
        <w:t>万元，全部为本级</w:t>
      </w:r>
      <w:r>
        <w:rPr>
          <w:rFonts w:ascii="仿宋_GB2312" w:eastAsia="仿宋_GB2312" w:cs="Times New Roman"/>
          <w:sz w:val="32"/>
          <w:szCs w:val="32"/>
        </w:rPr>
        <w:t>支出，</w:t>
      </w:r>
      <w:r>
        <w:rPr>
          <w:rFonts w:ascii="仿宋_GB2312" w:eastAsia="仿宋_GB2312" w:cs="Times New Roman" w:hint="eastAsia"/>
          <w:sz w:val="32"/>
          <w:szCs w:val="32"/>
        </w:rPr>
        <w:t>主要为</w:t>
      </w:r>
      <w:r>
        <w:rPr>
          <w:rFonts w:ascii="仿宋_GB2312" w:eastAsia="仿宋_GB2312" w:cs="Times New Roman" w:hint="eastAsia"/>
          <w:sz w:val="32"/>
          <w:szCs w:val="32"/>
          <w:lang w:eastAsia="zh-CN"/>
        </w:rPr>
        <w:t>《</w:t>
      </w:r>
      <w:r>
        <w:rPr>
          <w:rFonts w:ascii="仿宋_GB2312" w:eastAsia="仿宋_GB2312" w:cs="Times New Roman" w:hint="eastAsia"/>
          <w:sz w:val="32"/>
          <w:szCs w:val="32"/>
          <w:lang w:val="en-US" w:eastAsia="zh-CN"/>
        </w:rPr>
        <w:t>双创双服开展活动经费</w:t>
      </w:r>
      <w:r>
        <w:rPr>
          <w:rFonts w:ascii="仿宋_GB2312" w:eastAsia="仿宋_GB2312" w:cs="Times New Roman" w:hint="eastAsia"/>
          <w:sz w:val="32"/>
          <w:szCs w:val="32"/>
          <w:lang w:eastAsia="zh-CN"/>
        </w:rPr>
        <w:t>》、《</w:t>
      </w:r>
      <w:r>
        <w:rPr>
          <w:rFonts w:ascii="仿宋_GB2312" w:eastAsia="仿宋_GB2312" w:cs="Times New Roman" w:hint="eastAsia"/>
          <w:sz w:val="32"/>
          <w:szCs w:val="32"/>
          <w:lang w:val="en-US" w:eastAsia="zh-CN"/>
        </w:rPr>
        <w:t>采暖应急保障资金</w:t>
      </w:r>
      <w:r>
        <w:rPr>
          <w:rFonts w:ascii="仿宋_GB2312" w:eastAsia="仿宋_GB2312" w:cs="Times New Roman" w:hint="eastAsia"/>
          <w:sz w:val="32"/>
          <w:szCs w:val="32"/>
          <w:lang w:eastAsia="zh-CN"/>
        </w:rPr>
        <w:t>》、《</w:t>
      </w:r>
      <w:r>
        <w:rPr>
          <w:rFonts w:ascii="仿宋_GB2312" w:eastAsia="仿宋_GB2312" w:cs="Times New Roman" w:hint="eastAsia"/>
          <w:sz w:val="32"/>
          <w:szCs w:val="32"/>
          <w:lang w:val="en-US" w:eastAsia="zh-CN"/>
        </w:rPr>
        <w:t>霸州市“十四五”规划纲要编制经费</w:t>
      </w:r>
      <w:r>
        <w:rPr>
          <w:rFonts w:ascii="仿宋_GB2312" w:eastAsia="仿宋_GB2312" w:cs="Times New Roman" w:hint="eastAsia"/>
          <w:sz w:val="32"/>
          <w:szCs w:val="32"/>
          <w:lang w:eastAsia="zh-CN"/>
        </w:rPr>
        <w:t>》、《</w:t>
      </w:r>
      <w:r>
        <w:rPr>
          <w:rFonts w:ascii="仿宋_GB2312" w:eastAsia="仿宋_GB2312" w:cs="Times New Roman" w:hint="eastAsia"/>
          <w:sz w:val="32"/>
          <w:szCs w:val="32"/>
          <w:lang w:val="en-US" w:eastAsia="zh-CN"/>
        </w:rPr>
        <w:t>河北省企业技术中心奖励资金</w:t>
      </w:r>
      <w:r>
        <w:rPr>
          <w:rFonts w:ascii="仿宋_GB2312" w:eastAsia="仿宋_GB2312" w:cs="Times New Roman" w:hint="eastAsia"/>
          <w:sz w:val="32"/>
          <w:szCs w:val="32"/>
          <w:lang w:eastAsia="zh-CN"/>
        </w:rPr>
        <w:t>》、《</w:t>
      </w:r>
      <w:r>
        <w:rPr>
          <w:rFonts w:ascii="仿宋_GB2312" w:eastAsia="仿宋_GB2312" w:cs="Times New Roman" w:hint="eastAsia"/>
          <w:sz w:val="32"/>
          <w:szCs w:val="32"/>
          <w:lang w:val="en-US" w:eastAsia="zh-CN"/>
        </w:rPr>
        <w:t>企业改制人员生活费</w:t>
      </w:r>
      <w:r>
        <w:rPr>
          <w:rFonts w:ascii="仿宋_GB2312" w:eastAsia="仿宋_GB2312" w:cs="Times New Roman" w:hint="eastAsia"/>
          <w:sz w:val="32"/>
          <w:szCs w:val="32"/>
          <w:lang w:eastAsia="zh-CN"/>
        </w:rPr>
        <w:t>》</w:t>
      </w:r>
      <w:r>
        <w:rPr>
          <w:rFonts w:ascii="仿宋_GB2312" w:eastAsia="仿宋_GB2312" w:cs="Times New Roman" w:hint="eastAsia"/>
          <w:sz w:val="32"/>
          <w:szCs w:val="32"/>
        </w:rPr>
        <w:t>等；上缴上级支出</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w:t>
      </w:r>
      <w:r>
        <w:rPr>
          <w:rFonts w:ascii="仿宋_GB2312" w:eastAsia="仿宋_GB2312" w:cs="Times New Roman"/>
          <w:sz w:val="32"/>
          <w:szCs w:val="32"/>
        </w:rPr>
        <w:t>经营支出</w:t>
      </w:r>
      <w:r>
        <w:rPr>
          <w:rFonts w:ascii="仿宋_GB2312" w:eastAsia="仿宋_GB2312" w:cs="Times New Roman" w:hint="eastAsia"/>
          <w:sz w:val="32"/>
          <w:szCs w:val="32"/>
          <w:lang w:val="en-US" w:eastAsia="zh-CN"/>
        </w:rPr>
        <w:t>0</w:t>
      </w:r>
      <w:r>
        <w:rPr>
          <w:rFonts w:ascii="仿宋_GB2312" w:eastAsia="仿宋_GB2312" w:cs="Times New Roman"/>
          <w:sz w:val="32"/>
          <w:szCs w:val="32"/>
        </w:rPr>
        <w:t>万元，</w:t>
      </w:r>
      <w:r>
        <w:rPr>
          <w:rFonts w:ascii="仿宋_GB2312" w:eastAsia="仿宋_GB2312" w:cs="Times New Roman" w:hint="eastAsia"/>
          <w:sz w:val="32"/>
          <w:szCs w:val="32"/>
        </w:rPr>
        <w:t>对附属单位补助支出</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w:t>
      </w:r>
    </w:p>
    <w:p>
      <w:pPr>
        <w:ind w:firstLine="640"/>
        <w:rPr>
          <w:rFonts w:ascii="楷体_GB2312" w:eastAsia="楷体_GB2312" w:cs="Times New Roman"/>
          <w:b/>
          <w:sz w:val="32"/>
          <w:szCs w:val="32"/>
        </w:rPr>
      </w:pPr>
      <w:r>
        <w:rPr>
          <w:rFonts w:ascii="楷体_GB2312" w:eastAsia="楷体_GB2312" w:cs="Times New Roman" w:hint="eastAsia"/>
          <w:b/>
          <w:sz w:val="32"/>
          <w:szCs w:val="32"/>
        </w:rPr>
        <w:t>3、比上年增减情况</w:t>
      </w:r>
    </w:p>
    <w:p>
      <w:pPr>
        <w:shd w:val="clear" w:color="auto" w:fill="auto"/>
        <w:ind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20</w:t>
      </w:r>
      <w:r>
        <w:rPr>
          <w:rFonts w:ascii="仿宋_GB2312" w:eastAsia="仿宋_GB2312" w:cs="Times New Roman"/>
          <w:color w:val="000000"/>
          <w:sz w:val="32"/>
          <w:szCs w:val="32"/>
        </w:rPr>
        <w:t>2</w:t>
      </w:r>
      <w:r>
        <w:rPr>
          <w:rFonts w:ascii="仿宋_GB2312" w:eastAsia="仿宋_GB2312" w:cs="Times New Roman" w:hint="eastAsia"/>
          <w:color w:val="000000"/>
          <w:sz w:val="32"/>
          <w:szCs w:val="32"/>
          <w:lang w:val="en-US" w:eastAsia="zh-CN"/>
        </w:rPr>
        <w:t>1</w:t>
      </w:r>
      <w:r>
        <w:rPr>
          <w:rFonts w:ascii="仿宋_GB2312" w:eastAsia="仿宋_GB2312" w:cs="Times New Roman" w:hint="eastAsia"/>
          <w:color w:val="000000"/>
          <w:sz w:val="32"/>
          <w:szCs w:val="32"/>
        </w:rPr>
        <w:t>年预算收支安排</w:t>
      </w:r>
      <w:r>
        <w:rPr>
          <w:rFonts w:ascii="仿宋_GB2312" w:eastAsia="仿宋_GB2312" w:cs="Times New Roman" w:hint="eastAsia"/>
          <w:sz w:val="32"/>
          <w:szCs w:val="32"/>
          <w:lang w:val="en-US" w:eastAsia="zh-CN"/>
        </w:rPr>
        <w:t>4228.46</w:t>
      </w:r>
      <w:r>
        <w:rPr>
          <w:rFonts w:ascii="仿宋_GB2312" w:eastAsia="仿宋_GB2312" w:cs="Times New Roman" w:hint="eastAsia"/>
          <w:color w:val="000000"/>
          <w:sz w:val="32"/>
          <w:szCs w:val="32"/>
        </w:rPr>
        <w:t>万元，较20</w:t>
      </w:r>
      <w:r>
        <w:rPr>
          <w:rFonts w:ascii="仿宋_GB2312" w:eastAsia="仿宋_GB2312" w:cs="Times New Roman" w:hint="eastAsia"/>
          <w:color w:val="000000"/>
          <w:sz w:val="32"/>
          <w:szCs w:val="32"/>
          <w:lang w:val="en-US" w:eastAsia="zh-CN"/>
        </w:rPr>
        <w:t>20</w:t>
      </w:r>
      <w:r>
        <w:rPr>
          <w:rFonts w:ascii="仿宋_GB2312" w:eastAsia="仿宋_GB2312" w:cs="Times New Roman" w:hint="eastAsia"/>
          <w:color w:val="000000"/>
          <w:sz w:val="32"/>
          <w:szCs w:val="32"/>
        </w:rPr>
        <w:t>年预算</w:t>
      </w:r>
      <w:r>
        <w:rPr>
          <w:rFonts w:ascii="仿宋_GB2312" w:eastAsia="仿宋_GB2312" w:cs="Times New Roman" w:hint="eastAsia"/>
          <w:color w:val="000000"/>
          <w:sz w:val="32"/>
          <w:szCs w:val="32"/>
          <w:lang w:val="en-US" w:eastAsia="zh-CN"/>
        </w:rPr>
        <w:t>减少651.48</w:t>
      </w:r>
      <w:r>
        <w:rPr>
          <w:rFonts w:ascii="仿宋_GB2312" w:eastAsia="仿宋_GB2312" w:cs="Times New Roman" w:hint="eastAsia"/>
          <w:color w:val="auto"/>
          <w:sz w:val="32"/>
          <w:szCs w:val="32"/>
        </w:rPr>
        <w:t>万元，其中：基本支出</w:t>
      </w:r>
      <w:r>
        <w:rPr>
          <w:rFonts w:ascii="仿宋_GB2312" w:eastAsia="仿宋_GB2312" w:cs="Times New Roman" w:hint="eastAsia"/>
          <w:color w:val="000000"/>
          <w:sz w:val="32"/>
          <w:szCs w:val="32"/>
          <w:lang w:val="en-US" w:eastAsia="zh-CN"/>
        </w:rPr>
        <w:t>减少12.08</w:t>
      </w:r>
      <w:r>
        <w:rPr>
          <w:rFonts w:ascii="仿宋_GB2312" w:eastAsia="仿宋_GB2312" w:cs="Times New Roman" w:hint="eastAsia"/>
          <w:color w:val="000000"/>
          <w:sz w:val="32"/>
          <w:szCs w:val="32"/>
        </w:rPr>
        <w:t>万元，主要为增加</w:t>
      </w:r>
      <w:r>
        <w:rPr>
          <w:rFonts w:ascii="仿宋_GB2312" w:eastAsia="仿宋_GB2312" w:cs="Times New Roman" w:hint="eastAsia"/>
          <w:color w:val="000000"/>
          <w:sz w:val="32"/>
          <w:szCs w:val="32"/>
          <w:lang w:val="en-US" w:eastAsia="zh-CN"/>
        </w:rPr>
        <w:t>人员经费</w:t>
      </w:r>
      <w:r>
        <w:rPr>
          <w:rFonts w:ascii="仿宋_GB2312" w:eastAsia="仿宋_GB2312" w:cs="Times New Roman" w:hint="eastAsia"/>
          <w:color w:val="000000"/>
          <w:sz w:val="32"/>
          <w:szCs w:val="32"/>
        </w:rPr>
        <w:t>支出；项目支出减少</w:t>
      </w:r>
      <w:r>
        <w:rPr>
          <w:rFonts w:ascii="仿宋_GB2312" w:eastAsia="仿宋_GB2312" w:cs="Times New Roman" w:hint="eastAsia"/>
          <w:color w:val="000000"/>
          <w:sz w:val="32"/>
          <w:szCs w:val="32"/>
          <w:lang w:val="en-US" w:eastAsia="zh-CN"/>
        </w:rPr>
        <w:t>639.40</w:t>
      </w:r>
      <w:r>
        <w:rPr>
          <w:rFonts w:ascii="仿宋_GB2312" w:eastAsia="仿宋_GB2312" w:cs="Times New Roman" w:hint="eastAsia"/>
          <w:color w:val="000000"/>
          <w:sz w:val="32"/>
          <w:szCs w:val="32"/>
        </w:rPr>
        <w:t>万元，主要为减少</w:t>
      </w:r>
      <w:r>
        <w:rPr>
          <w:rFonts w:ascii="仿宋_GB2312" w:eastAsia="仿宋_GB2312" w:cs="Times New Roman" w:hint="eastAsia"/>
          <w:color w:val="000000"/>
          <w:sz w:val="32"/>
          <w:szCs w:val="32"/>
          <w:lang w:val="en-US" w:eastAsia="zh-CN"/>
        </w:rPr>
        <w:t>业务</w:t>
      </w:r>
      <w:r>
        <w:rPr>
          <w:rFonts w:ascii="仿宋_GB2312" w:eastAsia="仿宋_GB2312" w:cs="Times New Roman" w:hint="eastAsia"/>
          <w:color w:val="000000"/>
          <w:sz w:val="32"/>
          <w:szCs w:val="32"/>
        </w:rPr>
        <w:t>项目支</w:t>
      </w:r>
      <w:r>
        <w:rPr>
          <w:rFonts w:ascii="仿宋_GB2312" w:eastAsia="仿宋_GB2312" w:cs="Times New Roman" w:hint="eastAsia"/>
          <w:color w:val="auto"/>
          <w:sz w:val="32"/>
          <w:szCs w:val="32"/>
        </w:rPr>
        <w:t>出。</w:t>
      </w:r>
    </w:p>
    <w:p>
      <w:pPr>
        <w:ind w:firstLineChars="200" w:firstLine="640"/>
        <w:rPr>
          <w:rFonts w:ascii="黑体" w:eastAsia="黑体" w:cs="Times New Roman"/>
          <w:sz w:val="32"/>
          <w:szCs w:val="32"/>
        </w:rPr>
      </w:pPr>
      <w:r>
        <w:rPr>
          <w:rFonts w:ascii="黑体" w:eastAsia="黑体" w:cs="Times New Roman" w:hint="eastAsia"/>
          <w:sz w:val="32"/>
          <w:szCs w:val="32"/>
        </w:rPr>
        <w:t>三、机关运行经费安排情况</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机关运行经费共计安排</w:t>
      </w:r>
      <w:r>
        <w:rPr>
          <w:rFonts w:ascii="仿宋_GB2312" w:eastAsia="仿宋_GB2312" w:cs="Times New Roman" w:hint="eastAsia"/>
          <w:sz w:val="32"/>
          <w:szCs w:val="32"/>
          <w:lang w:val="en-US" w:eastAsia="zh-CN"/>
        </w:rPr>
        <w:t>115.25</w:t>
      </w:r>
      <w:r>
        <w:rPr>
          <w:rFonts w:ascii="仿宋_GB2312" w:eastAsia="仿宋_GB2312" w:cs="Times New Roman" w:hint="eastAsia"/>
          <w:sz w:val="32"/>
          <w:szCs w:val="32"/>
        </w:rPr>
        <w:t>万元，主要用于办公区的日常维修、办公用房水电费、办公用房取暖费、办公及印刷费，邮电费、差旅费、福利费及一般设备购置费、办公用房物业管理费、公务用车运行维护费等日常运行支出。</w:t>
      </w:r>
    </w:p>
    <w:p>
      <w:pPr>
        <w:ind w:firstLineChars="200" w:firstLine="640"/>
        <w:rPr>
          <w:rFonts w:ascii="黑体" w:eastAsia="黑体" w:cs="Times New Roman"/>
          <w:sz w:val="32"/>
          <w:szCs w:val="32"/>
        </w:rPr>
      </w:pPr>
      <w:r>
        <w:rPr>
          <w:rFonts w:ascii="黑体" w:eastAsia="黑体" w:cs="Times New Roman" w:hint="eastAsia"/>
          <w:sz w:val="32"/>
          <w:szCs w:val="32"/>
        </w:rPr>
        <w:t>四、财政拨款</w:t>
      </w:r>
      <w:r>
        <w:rPr>
          <w:rFonts w:ascii="黑体" w:eastAsia="黑体" w:cs="Times New Roman"/>
          <w:sz w:val="32"/>
          <w:szCs w:val="32"/>
        </w:rPr>
        <w:t>“</w:t>
      </w:r>
      <w:r>
        <w:rPr>
          <w:rFonts w:ascii="黑体" w:eastAsia="黑体" w:cs="Times New Roman" w:hint="eastAsia"/>
          <w:sz w:val="32"/>
          <w:szCs w:val="32"/>
        </w:rPr>
        <w:t>三公</w:t>
      </w:r>
      <w:r>
        <w:rPr>
          <w:rFonts w:ascii="黑体" w:eastAsia="黑体" w:cs="Times New Roman"/>
          <w:sz w:val="32"/>
          <w:szCs w:val="32"/>
        </w:rPr>
        <w:t>”</w:t>
      </w:r>
      <w:r>
        <w:rPr>
          <w:rFonts w:ascii="黑体" w:eastAsia="黑体" w:cs="Times New Roman" w:hint="eastAsia"/>
          <w:sz w:val="32"/>
          <w:szCs w:val="32"/>
        </w:rPr>
        <w:t>经费预算情况及增减变化原因</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20</w:t>
      </w:r>
      <w:r>
        <w:rPr>
          <w:rFonts w:ascii="仿宋_GB2312" w:eastAsia="仿宋_GB2312" w:cs="Times New Roman"/>
          <w:sz w:val="32"/>
          <w:szCs w:val="32"/>
        </w:rPr>
        <w:t>2</w:t>
      </w:r>
      <w:r>
        <w:rPr>
          <w:rFonts w:ascii="仿宋_GB2312" w:eastAsia="仿宋_GB2312" w:cs="Times New Roman" w:hint="eastAsia"/>
          <w:sz w:val="32"/>
          <w:szCs w:val="32"/>
          <w:lang w:val="en-US" w:eastAsia="zh-CN"/>
        </w:rPr>
        <w:t>1</w:t>
      </w:r>
      <w:r>
        <w:rPr>
          <w:rFonts w:ascii="仿宋_GB2312" w:eastAsia="仿宋_GB2312" w:cs="Times New Roman" w:hint="eastAsia"/>
          <w:sz w:val="32"/>
          <w:szCs w:val="32"/>
        </w:rPr>
        <w:t>年，我部门“三公”经费预算安排</w:t>
      </w:r>
      <w:r>
        <w:rPr>
          <w:rFonts w:ascii="仿宋_GB2312" w:eastAsia="仿宋_GB2312" w:cs="Times New Roman" w:hint="eastAsia"/>
          <w:sz w:val="32"/>
          <w:szCs w:val="32"/>
          <w:lang w:val="en-US" w:eastAsia="zh-CN"/>
        </w:rPr>
        <w:t>5.40</w:t>
      </w:r>
      <w:r>
        <w:rPr>
          <w:rFonts w:ascii="仿宋_GB2312" w:eastAsia="仿宋_GB2312" w:cs="Times New Roman" w:hint="eastAsia"/>
          <w:sz w:val="32"/>
          <w:szCs w:val="32"/>
        </w:rPr>
        <w:t>万元，其中：因公出国（境）费</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万元；公务用车购置及运维费</w:t>
      </w:r>
      <w:r>
        <w:rPr>
          <w:rFonts w:ascii="仿宋_GB2312" w:eastAsia="仿宋_GB2312" w:cs="Times New Roman" w:hint="eastAsia"/>
          <w:sz w:val="32"/>
          <w:szCs w:val="32"/>
          <w:lang w:val="en-US" w:eastAsia="zh-CN"/>
        </w:rPr>
        <w:t>5</w:t>
      </w:r>
      <w:r>
        <w:rPr>
          <w:rFonts w:ascii="仿宋_GB2312" w:eastAsia="仿宋_GB2312" w:cs="Times New Roman" w:hint="eastAsia"/>
          <w:sz w:val="32"/>
          <w:szCs w:val="32"/>
        </w:rPr>
        <w:t>万元（其中：公务用车购置费</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万元，公务用车运行维护费</w:t>
      </w:r>
      <w:r>
        <w:rPr>
          <w:rFonts w:ascii="仿宋_GB2312" w:eastAsia="仿宋_GB2312" w:cs="Times New Roman" w:hint="eastAsia"/>
          <w:sz w:val="32"/>
          <w:szCs w:val="32"/>
          <w:lang w:val="en-US" w:eastAsia="zh-CN"/>
        </w:rPr>
        <w:t>5</w:t>
      </w:r>
      <w:r>
        <w:rPr>
          <w:rFonts w:ascii="仿宋_GB2312" w:eastAsia="仿宋_GB2312" w:cs="Times New Roman" w:hint="eastAsia"/>
          <w:sz w:val="32"/>
          <w:szCs w:val="32"/>
        </w:rPr>
        <w:t>万元)；公务接待费</w:t>
      </w:r>
      <w:r>
        <w:rPr>
          <w:rFonts w:ascii="仿宋_GB2312" w:eastAsia="仿宋_GB2312" w:cs="Times New Roman" w:hint="eastAsia"/>
          <w:sz w:val="32"/>
          <w:szCs w:val="32"/>
          <w:lang w:val="en-US" w:eastAsia="zh-CN"/>
        </w:rPr>
        <w:t>0.40</w:t>
      </w:r>
      <w:r>
        <w:rPr>
          <w:rFonts w:ascii="仿宋_GB2312" w:eastAsia="仿宋_GB2312" w:cs="Times New Roman" w:hint="eastAsia"/>
          <w:sz w:val="32"/>
          <w:szCs w:val="32"/>
        </w:rPr>
        <w:t>万元，较20</w:t>
      </w:r>
      <w:r>
        <w:rPr>
          <w:rFonts w:ascii="仿宋_GB2312" w:eastAsia="仿宋_GB2312" w:cs="Times New Roman" w:hint="eastAsia"/>
          <w:sz w:val="32"/>
          <w:szCs w:val="32"/>
          <w:lang w:val="en-US" w:eastAsia="zh-CN"/>
        </w:rPr>
        <w:t>20</w:t>
      </w:r>
      <w:r>
        <w:rPr>
          <w:rFonts w:ascii="仿宋_GB2312" w:eastAsia="仿宋_GB2312" w:cs="Times New Roman" w:hint="eastAsia"/>
          <w:sz w:val="32"/>
          <w:szCs w:val="32"/>
        </w:rPr>
        <w:t>年“三公”经费</w:t>
      </w:r>
      <w:r>
        <w:rPr>
          <w:rFonts w:ascii="仿宋_GB2312" w:eastAsia="仿宋_GB2312" w:cs="Times New Roman" w:hint="eastAsia"/>
          <w:sz w:val="32"/>
          <w:szCs w:val="32"/>
          <w:lang w:val="en-US" w:eastAsia="zh-CN"/>
        </w:rPr>
        <w:t>增加3.61</w:t>
      </w:r>
      <w:r>
        <w:rPr>
          <w:rFonts w:ascii="仿宋_GB2312" w:eastAsia="仿宋_GB2312" w:cs="Times New Roman" w:hint="eastAsia"/>
          <w:sz w:val="32"/>
          <w:szCs w:val="32"/>
        </w:rPr>
        <w:t>万元，主要是因为</w:t>
      </w:r>
      <w:r>
        <w:rPr>
          <w:rFonts w:ascii="仿宋_GB2312" w:eastAsia="仿宋_GB2312" w:cs="Times New Roman" w:hint="eastAsia"/>
          <w:sz w:val="32"/>
          <w:szCs w:val="32"/>
          <w:lang w:val="en-US" w:eastAsia="zh-CN"/>
        </w:rPr>
        <w:t>机构改革，将原粮食局和原物价局合并到本单位，人员增加，经费也增长。</w:t>
      </w:r>
    </w:p>
    <w:p>
      <w:pPr>
        <w:ind w:firstLineChars="200" w:firstLine="640"/>
        <w:rPr>
          <w:rFonts w:ascii="黑体" w:eastAsia="黑体" w:cs="Times New Roman"/>
          <w:sz w:val="32"/>
          <w:szCs w:val="32"/>
        </w:rPr>
      </w:pPr>
      <w:r>
        <w:rPr>
          <w:rFonts w:ascii="黑体" w:eastAsia="黑体" w:cs="Times New Roman" w:hint="eastAsia"/>
          <w:sz w:val="32"/>
          <w:szCs w:val="32"/>
        </w:rPr>
        <w:t>五、预算绩效信息</w:t>
      </w:r>
    </w:p>
    <w:p>
      <w:pPr>
        <w:autoSpaceDE w:val="0"/>
        <w:autoSpaceDN w:val="0"/>
        <w:adjustRightInd w:val="0"/>
        <w:ind w:firstLineChars="200" w:firstLine="640"/>
        <w:jc w:val="left"/>
        <w:rPr>
          <w:rFonts w:ascii="楷体_GB2312" w:eastAsia="楷体_GB2312" w:cs="Times New Roman"/>
          <w:b/>
          <w:sz w:val="32"/>
          <w:szCs w:val="32"/>
        </w:rPr>
      </w:pPr>
      <w:bookmarkStart w:id="2" w:name="_Toc471398463"/>
      <w:r>
        <w:rPr>
          <w:rFonts w:ascii="楷体_GB2312" w:eastAsia="楷体_GB2312" w:cs="Times New Roman" w:hint="eastAsia"/>
          <w:b/>
          <w:sz w:val="32"/>
          <w:szCs w:val="32"/>
        </w:rPr>
        <w:t>第一部分 部门整体绩效</w:t>
      </w:r>
      <w:r>
        <w:rPr>
          <w:rFonts w:ascii="楷体_GB2312" w:eastAsia="楷体_GB2312" w:cs="Times New Roman"/>
          <w:b/>
          <w:sz w:val="32"/>
          <w:szCs w:val="32"/>
        </w:rPr>
        <w:t>目标</w:t>
      </w:r>
    </w:p>
    <w:p>
      <w:pPr>
        <w:spacing w:beforeLines="50" w:before="156" w:afterLines="50" w:after="156"/>
        <w:ind w:firstLineChars="200" w:firstLine="640"/>
        <w:jc w:val="left"/>
        <w:outlineLvl w:val="1"/>
        <w:rPr>
          <w:rFonts w:ascii="仿宋" w:eastAsia="仿宋" w:cs="仿宋" w:hint="eastAsia"/>
          <w:sz w:val="32"/>
          <w:szCs w:val="32"/>
        </w:rPr>
      </w:pPr>
      <w:bookmarkStart w:id="3" w:name="_Toc65759941"/>
      <w:bookmarkEnd w:id="2"/>
      <w:r>
        <w:rPr>
          <w:rFonts w:ascii="仿宋" w:eastAsia="仿宋" w:cs="仿宋" w:hint="eastAsia"/>
          <w:sz w:val="32"/>
          <w:szCs w:val="32"/>
        </w:rPr>
        <w:t>一、总体绩效目标</w:t>
      </w:r>
      <w:bookmarkEnd w:id="3"/>
      <w:r>
        <w:rPr>
          <w:rFonts w:ascii="仿宋" w:eastAsia="仿宋" w:cs="仿宋" w:hint="eastAsia"/>
          <w:vanish/>
          <w:sz w:val="32"/>
          <w:szCs w:val="32"/>
        </w:rPr>
        <w:t>{ TC 总体绩效目标 \f A \l 1 }</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贯彻落实国家宏观调控政策,统筹提出全市国民经济和社会发展主要目标,监测预测预警宏观经济和社会发展态势趋势,提岀经济调节政策建议。综合协调经济调节政策,牵头研究应对措施。调节经济运行,协调解决经济运行中的重大问题。拟订并组织实施有关价格政策,组织制定由县级管理的重要商品、服务价格和重要收费标准。参与贯彻落实省、市财政政策、货币政策和土地政策。推进落实区域协调发展战略、新型城镇化战略和重大政策,组织拟订相关区域规划和政策。推进实施京津冀协同发展等区域发展战略。组织编制并推动实施新型城镇化规划。承担市委财经委员会、市推进京津冀协同发展工作组织落实国家、省有关粮食流通和物资储备的法律、法规和政策。落实国家、省粮食行业发展规划和政策，制定全市粮食行业发展并组织实施。拟订全市粮食流通、市级粮食储备和物资储备的政策和规章制度并组织实施。承担全市粮食流通宏观调控，落实国家粮食购销政策，组织实施县级粮食、食糖和救灾物资等物资的收储、轮换和日常管理，落实有关动用计划和指令。贯彻落实国家粮食和物资储备仓储管理有关技术标准和规范。指导全市粮食流通和物资储备体制改革。承担粮食安全责任制考核日常工作。负责全市口岸规划、建设、开放和管理工作。</w:t>
      </w:r>
    </w:p>
    <w:p>
      <w:pPr>
        <w:spacing w:beforeLines="50" w:before="156" w:afterLines="50" w:after="156" w:line="500" w:lineRule="exact"/>
        <w:ind w:firstLineChars="200" w:firstLine="640"/>
        <w:jc w:val="left"/>
        <w:outlineLvl w:val="1"/>
        <w:rPr>
          <w:rFonts w:ascii="仿宋" w:eastAsia="仿宋" w:cs="仿宋" w:hint="eastAsia"/>
          <w:sz w:val="32"/>
          <w:szCs w:val="32"/>
        </w:rPr>
      </w:pPr>
      <w:bookmarkStart w:id="4" w:name="_Toc65759942"/>
      <w:r>
        <w:rPr>
          <w:rFonts w:ascii="仿宋" w:eastAsia="仿宋" w:cs="仿宋" w:hint="eastAsia"/>
          <w:sz w:val="32"/>
          <w:szCs w:val="32"/>
        </w:rPr>
        <w:t>二、分项绩效目标</w:t>
      </w:r>
      <w:bookmarkEnd w:id="4"/>
      <w:r>
        <w:rPr>
          <w:rFonts w:ascii="仿宋" w:eastAsia="仿宋" w:cs="仿宋" w:hint="eastAsia"/>
          <w:vanish/>
          <w:sz w:val="32"/>
          <w:szCs w:val="32"/>
        </w:rPr>
        <w:t>{ TC 分项绩效目标 \f A \l 1 }</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分项绩效目标</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（一）编制完成《霸州市国民经济和社会发展第十四个五年规划纲要》</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绩效目标：编制完成《霸州市国民经济和社会发展第十四个五年规划纲要》，贯彻落实国家、省和廊坊市相关政策任务，解决我市经济发展面临的问题，并经专家组论证，经市政府常务会、市委常委会、市人代会审议通过。</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绩效指标：规划数量=1套;通过专家论证，验收合格=100%;对霸州市国民经济和社会发展影响的持续时间≥5年；在社会各界征求意见过程中，未收到异议的编制内容占比≥90%。</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（二）编制完成建设“优质粮食工程”</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绩效目标：本项目计划对“益津粮油购销第一有限公司产后服务中心”和“益津粮油购销第二有限公司产后服务中心”2家企业现有场地、仓库进行维修，新建罩棚、地坪，购置清理、烘干、输送、除尘、通风、粮食质量快检和常规检测设备等。通过实施本项目，提高储粮能力达到10000吨，每日烘干粮食最高可达到5000吨。粮食收储能力显著增强，市场议价能力明显增强，粮食优质优价得以有效保障，粮食损失大幅降低，专业化服务水平显著提高。</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绩效指标：对第二公司仓内保温吊顶的施工面积=4675平方米；对第一公司地坪维修面积=1732平方米；对第一公司仓房墙体粉刷面积=9200平方米；对第一公司消防管道及配套设施进行完善=1套；招标程序是否符合规定，包括施工单选定、设计、监理单位选定的规范性=100%；储量能力提高情况≥10000吨；通过问卷调查，反映满意单位占调查单位的比例≥95%。</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（三）编制完成奖补重点3个燃气企业</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绩效目标：通过审核把关，对重点燃气企业进行奖补=3个；实际发放的补助金金额占审计结果发放金额的比率=100%；项目总预算成本=2000万元；通过对重点燃气企业执行奖补资金，保障其正常运行，因资金短缺出现的非正常运行几率小与0；百姓使用燃气满意度及企业得到奖补资金后积极供燃气保障民生用燃气≥98%</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（四）编制完成会计师事务所度相关企业进行成本监审，出具成本监审报告，为定价提供数据支持</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绩效目标：科学、有效地组织规范成本监审工作，保障成本监审数据的真实性、及时性、准确性，及时、全面组织开展价格监测工作，保障数据的真实性、及时性、准确性。</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绩效指标：对出租车成本监审、南水北调成本监审、天然气成本监审，出具成本监审的数据报告数量≥3个；价格监测点数量=18个；对18个点44种应急物资价格变动情况出具报告≥18个。</w:t>
      </w:r>
    </w:p>
    <w:p>
      <w:pPr>
        <w:spacing w:beforeLines="50" w:before="156" w:afterLines="50" w:after="156" w:line="500" w:lineRule="exact"/>
        <w:ind w:firstLineChars="200" w:firstLine="640"/>
        <w:jc w:val="left"/>
        <w:outlineLvl w:val="1"/>
        <w:rPr>
          <w:rFonts w:ascii="仿宋" w:eastAsia="仿宋" w:cs="仿宋" w:hint="eastAsia"/>
          <w:sz w:val="32"/>
          <w:szCs w:val="32"/>
        </w:rPr>
      </w:pPr>
      <w:bookmarkStart w:id="5" w:name="_Toc65759943"/>
      <w:r>
        <w:rPr>
          <w:rFonts w:ascii="仿宋" w:eastAsia="仿宋" w:cs="仿宋" w:hint="eastAsia"/>
          <w:sz w:val="32"/>
          <w:szCs w:val="32"/>
        </w:rPr>
        <w:t>三、工作保障措施</w:t>
      </w:r>
      <w:bookmarkEnd w:id="5"/>
      <w:r>
        <w:rPr>
          <w:rFonts w:ascii="仿宋" w:eastAsia="仿宋" w:cs="仿宋" w:hint="eastAsia"/>
          <w:vanish/>
          <w:sz w:val="32"/>
          <w:szCs w:val="32"/>
        </w:rPr>
        <w:t>{ TC 工作保障措施 \f A \l 1 }</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工作保障措施</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(一）完善制度建设。</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制定完善预算绩效管理制度、资金管理办法、工作保障制度等，为全年预算绩效目标的实现奠定制度基础。</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（二）加强支出管理。</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通过优化支出结构、编细编实预算、加快履行政府采购手续、尽快启动项目、及时支付资金、6月底前细化代编预算、按规定及时下达资金等多种措施，确保支出进度达标。</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（三）加强绩效运行监控。</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按要求开展绩效运行监控，发现问题及时采取措施，确保绩效目标如期保质实现。</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（四）做好绩效自评。</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按要求开展上年度部门预算绩效自评和重点评价工作，对评价中发现的问题及时整改，调整优化支出结构，提高财政资金使用效益。</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（五）规范财务资产管理。</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完善财务管理制度，严格审批程序，加强固定资产登记、使用和报废处置管理，做到支出合理，物尽其用。</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（六）加强内部监督。</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（七）加强宣传培训调研等。</w:t>
      </w:r>
    </w:p>
    <w:p>
      <w:pPr>
        <w:spacing w:line="500" w:lineRule="exact"/>
        <w:ind w:firstLineChars="200" w:firstLine="640"/>
        <w:jc w:val="left"/>
        <w:rPr>
          <w:rFonts w:ascii="仿宋" w:eastAsia="仿宋" w:cs="仿宋" w:hint="eastAsia"/>
          <w:sz w:val="32"/>
          <w:szCs w:val="32"/>
        </w:rPr>
      </w:pPr>
      <w:r>
        <w:rPr>
          <w:rFonts w:ascii="仿宋" w:eastAsia="仿宋" w:cs="仿宋" w:hint="eastAsia"/>
          <w:sz w:val="32"/>
          <w:szCs w:val="32"/>
        </w:rPr>
        <w:t>加强人员培训，提高本部门职工业务素质；加强调研，提出优化财政资金配置、提高资金使用效益的意见意见；加大宣传力度，强化预算绩效管理意识，促进预算绩效管理水平进一步提升。</w:t>
      </w:r>
    </w:p>
    <w:p>
      <w:pPr>
        <w:numPr>
          <w:ilvl w:val="0"/>
          <w:numId w:val="1"/>
        </w:numPr>
        <w:ind w:left="0" w:firstLineChars="200" w:firstLine="640"/>
        <w:jc w:val="both"/>
        <w:outlineLvl w:val="0"/>
        <w:rPr>
          <w:rFonts w:ascii="黑体" w:eastAsia="黑体" w:cs="黑体" w:hint="eastAsia"/>
          <w:sz w:val="32"/>
          <w:szCs w:val="32"/>
        </w:rPr>
      </w:pPr>
      <w:r>
        <w:rPr>
          <w:rFonts w:ascii="黑体" w:eastAsia="黑体" w:cs="黑体" w:hint="eastAsia"/>
          <w:sz w:val="32"/>
          <w:szCs w:val="32"/>
        </w:rPr>
        <w:t>预算项目绩效目标</w:t>
      </w:r>
    </w:p>
    <w:p>
      <w:pPr>
        <w:ind w:firstLineChars="200" w:firstLine="560"/>
        <w:jc w:val="left"/>
        <w:outlineLvl w:val="3"/>
        <w:rPr>
          <w:rFonts w:ascii="Times New Roman" w:hAnsi="Times New Roman"/>
          <w:b/>
          <w:sz w:val="28"/>
        </w:rPr>
      </w:pPr>
      <w:bookmarkStart w:id="6" w:name="_Toc65759944"/>
      <w:r>
        <w:rPr>
          <w:rFonts w:ascii="方正仿宋_GBK" w:eastAsia="方正仿宋_GBK" w:hint="eastAsia"/>
          <w:b/>
          <w:sz w:val="28"/>
        </w:rPr>
        <w:t>1.双创双服开展活动经费★绩效目标表</w:t>
      </w:r>
      <w:bookmarkEnd w:id="6"/>
      <w:r>
        <w:rPr>
          <w:rFonts w:ascii="方正仿宋_GBK" w:eastAsia="方正仿宋_GBK"/>
          <w:b/>
          <w:vanish/>
          <w:sz w:val="28"/>
        </w:rPr>
        <w:t xml:space="preserve">{ </w:t>
      </w:r>
      <w:r>
        <w:rPr>
          <w:rFonts w:ascii="方正仿宋_GBK" w:eastAsia="方正仿宋_GBK" w:hint="eastAsia"/>
          <w:b/>
          <w:vanish/>
          <w:sz w:val="28"/>
        </w:rPr>
        <w:t>TC 1、双创双服开展活动经费★绩效目标表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131081214MQD2I74OGRQR</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双创双服开展活动经费★</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3.50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3.50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照活动安排，第一季度完成方案的编纂及下发宣传资料，召开3次活动动员会。第二季度开展年度工作推进会并逐步开展督导检查工作。按照活动要求，随时对政策内容进行宣传及对各涉项单位、民营企业及全市市民进行督导，宣传。半年开一次新闻发布会及半年总结会，2020年10月前对双创双服活动进行总结、考核，召开总结会及新闻发布会。全年针对活动开展情况，宣传典型经验做法，进一步烘托全市双创双服活动氛围。</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按照工作要求，开展双创双服开展活动，加护筹备召开3次全市大会，印刷会议相关资料不低于100本及制作宣传展板等，召开2次新闻发布会，每月开展督导活动一年不低于20次，宣传典型经验做法，进一步烘托全市双创双服活动氛围。</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开展督导活动次数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按照活动要求，对活动涉项单位及项目进展情况进行督查</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≥20次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印刷相关宣传资料</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印刷相关宣传资料</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≥1500次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项目实施质量考核标准</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廊坊市出台了具体的考核办法，以该考核结果为准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廊坊考核结果为准</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按时完成率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各项工作按时完成率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项目资金预算控制数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项目资金预算控制数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≤3.5万元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双创双服活动各项工作年度完成率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各单位年度任务完成率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活动参与人员满意度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参与的企业、单位、群众满意和比较满意数量占被调查总数的比例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7" w:name="_Toc65759945"/>
      <w:r>
        <w:rPr>
          <w:rFonts w:ascii="方正仿宋_GBK" w:eastAsia="方正仿宋_GBK" w:hint="eastAsia"/>
          <w:b/>
          <w:sz w:val="28"/>
        </w:rPr>
        <w:t>2.价格成本监审和价格监测经费绩效目标表</w:t>
      </w:r>
      <w:bookmarkEnd w:id="7"/>
      <w:r>
        <w:rPr>
          <w:rFonts w:ascii="方正仿宋_GBK" w:eastAsia="方正仿宋_GBK"/>
          <w:b/>
          <w:vanish/>
          <w:sz w:val="28"/>
        </w:rPr>
        <w:t xml:space="preserve">{ </w:t>
      </w:r>
      <w:r>
        <w:rPr>
          <w:rFonts w:ascii="方正仿宋_GBK" w:eastAsia="方正仿宋_GBK" w:hint="eastAsia"/>
          <w:b/>
          <w:vanish/>
          <w:sz w:val="28"/>
        </w:rPr>
        <w:t>TC 2、价格成本监审和价格监测经费绩效目标表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131081216FEDACH2KHDXL</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价格成本监审和价格监测经费</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聘请会计师事务所度相关企业进行成本监审，出具成本监审报告，为定价提供数据支持。聘请第三方公司对全市18个监测点44种应急物资价格进行监测，为政府宏观调控提供价格依据。</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1.科学、有效地组织规范成本监审工作，保障成本监审数据的真实性、及时性、准确性</w:t>
            </w:r>
          </w:p>
          <w:p>
            <w:pPr>
              <w:spacing w:line="300" w:lineRule="exact"/>
              <w:jc w:val="left"/>
              <w:rPr>
                <w:rFonts w:ascii="方正书宋_GBK" w:eastAsia="方正书宋_GBK"/>
              </w:rPr>
            </w:pPr>
            <w:r>
              <w:rPr>
                <w:rFonts w:ascii="方正书宋_GBK" w:eastAsia="方正书宋_GBK" w:hint="eastAsia"/>
              </w:rPr>
              <w:t>2.及时、全面组织开展价格监测工作，保障数据的真实性、及时性、准确性</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价格监测应急物资数量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价格监测应急物资数量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44个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价格监测报告出具数量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对18个点44种应急物资价格变动情况出具报告</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≥18个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价格监测点数量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价格监测点数量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18个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成本监审报告出具数量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对出租车成本监审、南水北调成本监审、天然气成本监审，出具成本监审的数据报告数量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成本监审和价格监测报告采纳率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被采纳的报告占全部成本监审报告的比率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工作周期</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工作完成时间3个月</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≥3个月</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聘请专业会计事务所出具报告费用</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≤15万元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政府定价政策的科学性和公平性</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政府定价政策的科学性和公平性</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有效提升</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对业务的支撑作用</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为相关企业定价提供相关支出作用</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效果显著</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成果应用部门满意度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成果应用部门满意度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居民满意程度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居民对出租车、水价和天然气价格的满意程度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8" w:name="_Toc65759946"/>
      <w:r>
        <w:rPr>
          <w:rFonts w:ascii="方正仿宋_GBK" w:eastAsia="方正仿宋_GBK" w:hint="eastAsia"/>
          <w:b/>
          <w:sz w:val="28"/>
        </w:rPr>
        <w:t>3.河北省企业技术中心奖励资金绩效目标表</w:t>
      </w:r>
      <w:bookmarkEnd w:id="8"/>
      <w:r>
        <w:rPr>
          <w:rFonts w:ascii="方正仿宋_GBK" w:eastAsia="方正仿宋_GBK"/>
          <w:b/>
          <w:vanish/>
          <w:sz w:val="28"/>
        </w:rPr>
        <w:t xml:space="preserve">{ </w:t>
      </w:r>
      <w:r>
        <w:rPr>
          <w:rFonts w:ascii="方正仿宋_GBK" w:eastAsia="方正仿宋_GBK" w:hint="eastAsia"/>
          <w:b/>
          <w:vanish/>
          <w:sz w:val="28"/>
        </w:rPr>
        <w:t>TC 3、河北省企业技术中心奖励资金绩效目标表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131081216FY203T8KYL3L</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河北省企业技术中心奖励资金</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25.00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25.00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2019年12月29日，市委、市政府联合下达《关于进一步促进民营经济发展的若干意见》（霸发﹝2019﹞15号），明确了对创新平台建设的支持政策，对于新认定的省级企业技术中心给予一次性12.50万元奖励。2020年9月，经过我市筛选、实地考察、向上级申报及省组织的专家评审，我市两家企业技术中心获得认定，进入2020年河北省企业技术中心名单。</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对于新认定的省级企业技术中心给予一次性12.50万元奖励”的要求，对于我市进入2020年河北省企业技术中心名单的2家企业技术中心给予奖励，资金用于支持企业技术中心的建设工作，提高企业创新能力，引进创新人才、扩大创新成效，不断提升企业竞争力。</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受奖励企业数量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受奖励企业数量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2个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 xml:space="preserve">计划指标 </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奖金发放率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实际奖金发放率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xml:space="preserve">计划指标 </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奖金发放时间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奖金30天内发放完</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≤30天</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xml:space="preserve">计划指标 </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奖励标准</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奖励标准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12.5万元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xml:space="preserve">计划指标 </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奖金补发金额</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25万元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xml:space="preserve">计划指标 </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奖补持续发挥作用的期限</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通过奖补企业发挥作用的期限不低于2年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≥2年</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xml:space="preserve">计划指标 </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企业技术中心满意度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企业技术中心对支持政策的满意程度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xml:space="preserve">计划指标 </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9" w:name="_Toc65759947"/>
      <w:r>
        <w:rPr>
          <w:rFonts w:ascii="方正仿宋_GBK" w:eastAsia="方正仿宋_GBK" w:hint="eastAsia"/>
          <w:b/>
          <w:sz w:val="28"/>
        </w:rPr>
        <w:t>4.新增规模以上服务业企业奖励及在统规模以上服务业数据直报员奖励资金绩效目标表</w:t>
      </w:r>
      <w:bookmarkEnd w:id="9"/>
      <w:r>
        <w:rPr>
          <w:rFonts w:ascii="方正仿宋_GBK" w:eastAsia="方正仿宋_GBK"/>
          <w:b/>
          <w:vanish/>
          <w:sz w:val="28"/>
        </w:rPr>
        <w:t xml:space="preserve">{ </w:t>
      </w:r>
      <w:r>
        <w:rPr>
          <w:rFonts w:ascii="方正仿宋_GBK" w:eastAsia="方正仿宋_GBK" w:hint="eastAsia"/>
          <w:b/>
          <w:vanish/>
          <w:sz w:val="28"/>
        </w:rPr>
        <w:t>TC 4、新增规模以上服务业企业奖励及在统规模以上服务业数据直报员奖励资金绩效目标表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131081217GCSMGGVCV04R</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新增规模以上服务业企业奖励及在统规模以上服务业数据直报员奖励资金</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41.60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41.60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吸引和鼓励全市现代服务业企业积极申报和填报规上服务业系统，进一步支持引导企业做大做强，我局申请对规上服务业企业和直报员的奖励资金41.6万元，一次性拨付。</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计划2020年10月31日之前奖励2家2018年新增的规上服务业企业，每家3万共计6万；5家2019年新增的规上服务业企业，每家4万共计20万元；3家2020年新增的规上服务业企业，每家4万共计12万；奖励企业数据直报员12人，每人3000元共计3.6万，总计41.6万，起到鼓励全市现代服务业企业积极申报和填报规上服务业系统的作用。</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补贴的企业单位个数（家）</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符合奖励政策，给予奖励的企业单位数量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≥10家</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奖励的在统企业数据直报员数量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符合奖励政策，给予奖励的在统企业数据直报员数量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≥12名</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拨付比例</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拨付的企业和直报员数量占总数的比率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资金支付时间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年度内拨付各项奖励资金</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≤10月</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奖励资金预算控制数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奖励企业和直报员的资金</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≤41.6万元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规模以上服务业企业入统</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吸引和鼓励规模以上服务业企业入统，做好企业培育工作</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积极推动</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历史数据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补贴企业满意度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受奖励的企业对资金的满意度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补贴直报员满意度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受奖励的直报员对资金的满意度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10" w:name="_Toc65759948"/>
      <w:r>
        <w:rPr>
          <w:rFonts w:ascii="方正仿宋_GBK" w:eastAsia="方正仿宋_GBK" w:hint="eastAsia"/>
          <w:b/>
          <w:sz w:val="28"/>
        </w:rPr>
        <w:t>5.霸州市粮食产后服务中心建设项目本级财政配套资金★绩效目标表</w:t>
      </w:r>
      <w:bookmarkEnd w:id="10"/>
      <w:r>
        <w:rPr>
          <w:rFonts w:ascii="方正仿宋_GBK" w:eastAsia="方正仿宋_GBK"/>
          <w:b/>
          <w:vanish/>
          <w:sz w:val="28"/>
        </w:rPr>
        <w:t xml:space="preserve">{ </w:t>
      </w:r>
      <w:r>
        <w:rPr>
          <w:rFonts w:ascii="方正仿宋_GBK" w:eastAsia="方正仿宋_GBK" w:hint="eastAsia"/>
          <w:b/>
          <w:vanish/>
          <w:sz w:val="28"/>
        </w:rPr>
        <w:t>TC 5、霸州市粮食产后服务中心建设项目本级财政配套资金★绩效目标表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131081217YTYRRGSPUOHM</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霸州市粮食产后服务中心建设项目本级财政配套资金★</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159.30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159.30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照上级“优质粮食工程”相关文件要求，我局充分发挥部门职能、狠抓工作落实，积极谋划建设项目，通过筛选、申报等程序，“益津粮油购销第一有限公司产后服务中心”和“益津粮油购销第二有限公司产后服务中心”纳入我省投资计划，主要对企业现有场地、仓库进行维修，新建罩棚、地坪，购置清理、烘干、输送、除尘、通风、粮食质量快检和常规检测设备等，项目总投资610万元，上级补助305万元，本级配套资金159.3万元，其他资金由企业自筹。</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本项目计划对“益津粮油购销第一有限公司产后服务中心”和“益津粮油购销第二有限公司产后服务中心”2家企业现有场地、仓库进行维修，新建罩棚、地坪，购置清理、烘干、输送、除尘、通风、粮食质量快检和常规检测设备等。通过实施本项目，提高储粮能力达到10000吨，每日烘干粮食最高可达到5000吨。粮食收储能力显著增强，市场议价能力明显增强，粮食优质优价得以有效保障，粮食损失大幅降低，专业化服务水平显著提高。</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消防设施</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对第一公司消防管道及配套设施进行完善</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1套</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仓房维修</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对第一公司仓房墙体粉刷面积</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9200平方米</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地坪维修</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对第一公司地坪维修面积</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1735平方米</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仓内保温吊顶</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对第二公司仓内保温吊顶的施工面积</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4675平方米</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设备合格率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合格的设备数量占总设备的比例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行业标准</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招投标程序规范性</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招标程序是否符合规定，包括施工单选定、设计、监理单位选定的规范性</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工程质量合格率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合格的工程数量占总工程的比例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行业标准</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项目完工时间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按合同约定时间完工</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按合同时间约定</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项目总成本控制</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≤159.3万元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增加农户收入</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通过提供产后服务，增强农户议价能力，对农民收入的带动作用</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有效提高</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保障粮食供给安全</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通过提供产后服务，提高我市粮食供给保障能力</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有效提高</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储粮能力</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储量能力提高情况</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≥10000吨</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企业满意度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通过问卷调查，反映满意单位占调查单位的比例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问卷调查</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农户满意度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通过问卷调查，反映满意单位占调查单位的比例</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问卷调查</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11" w:name="_Toc65759949"/>
      <w:r>
        <w:rPr>
          <w:rFonts w:ascii="方正仿宋_GBK" w:eastAsia="方正仿宋_GBK" w:hint="eastAsia"/>
          <w:b/>
          <w:sz w:val="28"/>
        </w:rPr>
        <w:t>6.节能监察监测经费绩效目标表</w:t>
      </w:r>
      <w:bookmarkEnd w:id="11"/>
      <w:r>
        <w:rPr>
          <w:rFonts w:ascii="方正仿宋_GBK" w:eastAsia="方正仿宋_GBK"/>
          <w:b/>
          <w:vanish/>
          <w:sz w:val="28"/>
        </w:rPr>
        <w:t xml:space="preserve">{ </w:t>
      </w:r>
      <w:r>
        <w:rPr>
          <w:rFonts w:ascii="方正仿宋_GBK" w:eastAsia="方正仿宋_GBK" w:hint="eastAsia"/>
          <w:b/>
          <w:vanish/>
          <w:sz w:val="28"/>
        </w:rPr>
        <w:t>TC 6、节能监察监测经费绩效目标表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131081218WGOR65E8BRD4</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节能监察监测经费</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2021年度主要工作是对全市节能工作进行监察，对供用能单位进行监测，开展节能宣传培训。按照工作进度，2021年11月30日之前拨付各项工作经费，确保我市节能监察监测工作顺利实施。</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1.根据上级文件在2020年节能宣传周和低碳日期间对各乡镇（区、办）及重点用能企业发放宣传手册不低于2000册，开展节能宣传培训为期一周；确保我市节能监察监测工作顺利实施，用能企业和百姓的认知。</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对企业进行节能监察数量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配合省市发改委节能中心对我市钢铁压延、造纸、玻璃等重点用能企业进行节能监察</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≥13个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发放宣传资料数量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对各乡镇（区、办）及重点用能企业发放宣传册</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≥2000册</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开展节能宣传</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节能宣传周和低碳日期间开展节能宣传培训时长</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1周</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各项工作合格率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各项工作合格率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按时完成率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各项工作按时完成率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项目预算控制数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≤15万元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节能监察宣传覆盖率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节能监察宣传是否覆盖各乡镇及重点用能企业</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接受节能监察企业满意度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接受节能监察企业对节能监察工作的满意程度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12" w:name="_Toc65759950"/>
      <w:r>
        <w:rPr>
          <w:rFonts w:ascii="方正仿宋_GBK" w:eastAsia="方正仿宋_GBK" w:hint="eastAsia"/>
          <w:b/>
          <w:sz w:val="28"/>
        </w:rPr>
        <w:t>7.霸州市“十四五”规划纲要编制经费★绩效目标表</w:t>
      </w:r>
      <w:bookmarkEnd w:id="12"/>
      <w:r>
        <w:rPr>
          <w:rFonts w:ascii="方正仿宋_GBK" w:eastAsia="方正仿宋_GBK"/>
          <w:b/>
          <w:vanish/>
          <w:sz w:val="28"/>
        </w:rPr>
        <w:t xml:space="preserve">{ </w:t>
      </w:r>
      <w:r>
        <w:rPr>
          <w:rFonts w:ascii="方正仿宋_GBK" w:eastAsia="方正仿宋_GBK" w:hint="eastAsia"/>
          <w:b/>
          <w:vanish/>
          <w:sz w:val="28"/>
        </w:rPr>
        <w:t>TC 7、霸州市\“十四五\”规划纲要编制经费★绩效目标表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131081219G12GB7IHB734</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霸州市“十四五”规划纲要编制经费★</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29.60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29.60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2020年4月完成招标，10月31日前编制完成重大专题研究及规划框架，11月30日前编制完成《霸州市国民经济和社会发展第十四个五年规划纲要》，经过专家论证和市政府常务会、市委常委会、市人代会审议通过后，提交印发最终规划文件。</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1.2020年11月30日前编制完成《霸州市国民经济和社会发展第十四个五年规划纲要》，贯彻落实国家、省和廊坊市相关政策任务，解决我市经济发展面临的问题，并经专家组论证，经市政府常务会、市委常委会、市人代会审议通过，2021年6月前按合同支付尾款29.60万元</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规划数量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规划数量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1套</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专家评审通过率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通过专家论证，验收合格率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按时完成率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按时完成率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按合同支付尾款</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29.6万元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对国民经济和社会发展影响</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对霸州市国民经济和社会发展的影响</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指导霸州市各项事业高质量发展</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规划影响时间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对霸州市国民经济和社会发展影响的持续时间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≥5年</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上级主管部门、各委办局满意度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在社会各界征求意见过程中，未收到异议的编制内容占比</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13" w:name="_Toc65759951"/>
      <w:r>
        <w:rPr>
          <w:rFonts w:ascii="方正仿宋_GBK" w:eastAsia="方正仿宋_GBK" w:hint="eastAsia"/>
          <w:b/>
          <w:sz w:val="28"/>
        </w:rPr>
        <w:t>8.企业改制人员生活费绩效目标表</w:t>
      </w:r>
      <w:bookmarkEnd w:id="13"/>
      <w:r>
        <w:rPr>
          <w:rFonts w:ascii="方正仿宋_GBK" w:eastAsia="方正仿宋_GBK"/>
          <w:b/>
          <w:vanish/>
          <w:sz w:val="28"/>
        </w:rPr>
        <w:t xml:space="preserve">{ </w:t>
      </w:r>
      <w:r>
        <w:rPr>
          <w:rFonts w:ascii="方正仿宋_GBK" w:eastAsia="方正仿宋_GBK" w:hint="eastAsia"/>
          <w:b/>
          <w:vanish/>
          <w:sz w:val="28"/>
        </w:rPr>
        <w:t>TC 8、企业改制人员生活费绩效目标表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131081219XQNQ4QGGSL5F</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企业改制人员生活费</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依据《霸州市人民政府关于批转《霸州市粮食局关于国有粮食企业改革的实施方案》的通知》发放和缴纳企业改制内退人员生活费、养老保险、遗属补助</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1.按时按量发放和缴纳12名企业改制内退人员生活费及养老保险，为1名企业遗属人员发放补助，保障职工生活稳定，确保不发生信访问题。</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企业改制人员人数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改制人数及企业遗属人数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≤13人</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资金足额到位率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项目资金到位情况</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养老保险及生活费发放时间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养老保险及生活费发放时间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按月发放</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遗属补助发放时间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遗属补助发放时间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按季度发放</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项目总预算成本</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≤1.3万元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企业改制内退人员养老保险标准</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企业改制内退人员养老保险标准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522.13元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企业遗属人员补助标准</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企业遗属人员补助标准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510元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企业改制内退人员生活费标准</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企业改制内退人员生活费标准</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256元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职工生活稳定</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不形成上访案件</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≥1件</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历史数据</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改制人员及企业遗属人员满意度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改制人员及企业遗属人员满意度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≥98%</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14" w:name="_Toc65759952"/>
      <w:r>
        <w:rPr>
          <w:rFonts w:ascii="方正仿宋_GBK" w:eastAsia="方正仿宋_GBK" w:hint="eastAsia"/>
          <w:b/>
          <w:sz w:val="28"/>
        </w:rPr>
        <w:t>9.采暖季应急保障资金绩效目标表</w:t>
      </w:r>
      <w:bookmarkEnd w:id="14"/>
      <w:r>
        <w:rPr>
          <w:rFonts w:ascii="方正仿宋_GBK" w:eastAsia="方正仿宋_GBK"/>
          <w:b/>
          <w:vanish/>
          <w:sz w:val="28"/>
        </w:rPr>
        <w:t xml:space="preserve">{ </w:t>
      </w:r>
      <w:r>
        <w:rPr>
          <w:rFonts w:ascii="方正仿宋_GBK" w:eastAsia="方正仿宋_GBK" w:hint="eastAsia"/>
          <w:b/>
          <w:vanish/>
          <w:sz w:val="28"/>
        </w:rPr>
        <w:t>TC 9、采暖季应急保障资金绩效目标表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13108121CNAFVNM97EL81</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采暖季应急保障资金</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2000.00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2000.00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此资金对2020-2021年采暖季重点燃气供给霸州中石油昆仑燃气有限公司、霸州胜利顺达燃气有限公司、霸州市铭顺天然气销售有限公司3家重点燃气企业购买LNG、CNG的差价奖补2000万。</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对承担我市主城区域范围内居民用气供气任务的3家燃气企业购买LNG、CNG给予实行奖补2000万元。通过此奖励，保证燃气公司供气、供暖运行正常，因资金短缺出现的非正常运行几率小于0，百姓取暖用气得到保障。</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奖补重点燃气企业个数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通过审核把关，对重点燃气企业进行奖补的个数3个</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3个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足额到位率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实际发放的补助金金额占审计结果发放金额的比率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补贴发放时间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补贴发放时间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≤9月</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项目总预算成本</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≤2000万元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重点燃气企业正常运行率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通过对重点燃气企业执行奖补资金，保障其正常运行，因资金短缺出现的非正常运行几率小于0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≥98%</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15" w:name="_Toc65759953"/>
      <w:r>
        <w:rPr>
          <w:rFonts w:ascii="方正仿宋_GBK" w:eastAsia="方正仿宋_GBK" w:hint="eastAsia"/>
          <w:b/>
          <w:sz w:val="28"/>
        </w:rPr>
        <w:t>10.散煤存放保管处置资金绩效目标表</w:t>
      </w:r>
      <w:bookmarkEnd w:id="15"/>
      <w:r>
        <w:rPr>
          <w:rFonts w:ascii="方正仿宋_GBK" w:eastAsia="方正仿宋_GBK"/>
          <w:b/>
          <w:vanish/>
          <w:sz w:val="28"/>
        </w:rPr>
        <w:t xml:space="preserve">{ </w:t>
      </w:r>
      <w:r>
        <w:rPr>
          <w:rFonts w:ascii="方正仿宋_GBK" w:eastAsia="方正仿宋_GBK" w:hint="eastAsia"/>
          <w:b/>
          <w:vanish/>
          <w:sz w:val="28"/>
        </w:rPr>
        <w:t>TC 10、散煤存放保管处置资金绩效目标表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13108121EBVG7FIG1KYSR</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散煤存放保管处置资金</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租赁散煤暂存点，会同市财政局合法处置查扣、没收的散煤。</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1.使用此笔资金支付2个散煤存放点租金及用于处置清理散煤费用，切实做好散煤处置工作。</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处置查扣没收的散煤数量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会同市财政局将查扣没收的散煤依法处置</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按照实际吨数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设置散煤暂存点数量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将各乡镇（区、办）和执法部门查扣、没收的散煤合理存放</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散煤质量检测率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市场局对每批次查扣没收的散煤进行质量检测，并出具检测报告</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散煤处置完成时间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对查扣没收的散煤依法处置工作完成时间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按实际时间</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总预算控制数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散煤存放保管处置经费不超出总预算</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保障我市清洁取暖率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保障我市清洁取暖率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民众满意度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民众满意度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16" w:name="_Toc65759954"/>
      <w:r>
        <w:rPr>
          <w:rFonts w:ascii="方正仿宋_GBK" w:eastAsia="方正仿宋_GBK" w:hint="eastAsia"/>
          <w:b/>
          <w:sz w:val="28"/>
        </w:rPr>
        <w:t>11.重点建设项目资金绩效目标表</w:t>
      </w:r>
      <w:bookmarkEnd w:id="16"/>
      <w:r>
        <w:rPr>
          <w:rFonts w:ascii="方正仿宋_GBK" w:eastAsia="方正仿宋_GBK"/>
          <w:b/>
          <w:vanish/>
          <w:sz w:val="28"/>
        </w:rPr>
        <w:t xml:space="preserve">{ </w:t>
      </w:r>
      <w:r>
        <w:rPr>
          <w:rFonts w:ascii="方正仿宋_GBK" w:eastAsia="方正仿宋_GBK" w:hint="eastAsia"/>
          <w:b/>
          <w:vanish/>
          <w:sz w:val="28"/>
        </w:rPr>
        <w:t>TC 11、重点建设项目资金绩效目标表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13108121EMLK2G9EW98X3</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重点建设项目资金</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照上级安排部署，做好省市重点项目的咨询、评估论证工作。组织全市重点项目集中开工，安排重点项目参加省会、市会。组织市直相关部门进行项目观摩拉练活动，每月组织召开重点项目调度会。加快重点项目建设步伐，确保重大项目尽早落地、尽快开工、尽早投产达效。</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按照上级安排部署，积极组织实施项目协调调度、集中开工、观摩拉练、评估论证等活动，按照工作进度及时拨付资金，确保重大项目尽早落地、尽快开工、尽早投产达效。力争全年谋划运作亿元以上项目100个以上，在建项目力争达到50个，谋划储备项目不少于50个，新开工亿元以上项目不少于20个。促进更多亿元以上项目投资。</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集中开工次数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集中开工次数每年不低于4次</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≥4次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项目观摩拉练次数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项目观摩拉练次数每年2-3次</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项目调度会次数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项目调度会每月1次</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≥12次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各项任务完成率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各项任务完成率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集中开工时间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集中开工每3个月开1次</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每季度一次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项目调度会举办时间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项目调度会每月30日前举办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每30日一次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集中开工项目调度会费用不超预算</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40万元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亿元以上在建项目</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亿元以上在建项目（包括新增和续建）</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新开工亿元以上项目20个</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当年新开工项目个数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谋划储备亿元以上项目50个</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当年谋划储备项目个数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满意度测评</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对项目单位帮扶支持工作进行满意度测评</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≥98%</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17" w:name="_Toc65759955"/>
      <w:r>
        <w:rPr>
          <w:rFonts w:ascii="方正仿宋_GBK" w:eastAsia="方正仿宋_GBK" w:hint="eastAsia"/>
          <w:b/>
          <w:sz w:val="28"/>
        </w:rPr>
        <w:t>12.粮食应急网点维护经费绩效目标表</w:t>
      </w:r>
      <w:bookmarkEnd w:id="17"/>
      <w:r>
        <w:rPr>
          <w:rFonts w:ascii="方正仿宋_GBK" w:eastAsia="方正仿宋_GBK"/>
          <w:b/>
          <w:vanish/>
          <w:sz w:val="28"/>
        </w:rPr>
        <w:t xml:space="preserve">{ </w:t>
      </w:r>
      <w:r>
        <w:rPr>
          <w:rFonts w:ascii="方正仿宋_GBK" w:eastAsia="方正仿宋_GBK" w:hint="eastAsia"/>
          <w:b/>
          <w:vanish/>
          <w:sz w:val="28"/>
        </w:rPr>
        <w:t>TC 12、粮食应急网点维护经费绩效目标表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13108121EWQ7Z0NG30VU6</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粮食应急网点维护经费</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开展粮食应急演练、粮食应急网络维护等，用于保障我市2021年粮食应急各项工作等。</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1.2021年项目资金用于开展粮食应急演练、粮食应急网络维护等工作，保障粮食应急各项工作计划顺利完成。</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粮食应急供应网络维护数量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加强我市粮食应急网点维护</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≥17家</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开展粮食应急演练次数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开展我市粮食应急演练</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网络维护完成合格率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17家粮食应急网络维护完成合格率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粮食应急演练规模全市覆盖率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粮食应急演练规模覆盖全市比率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粮食应急演练完成时间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粮食应急演练工作完成时限</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≤10月</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粮食应急网络维护完成时限</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粮食应急网络维护工作完成时限</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≤6月</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应急保障经费预算控制数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应急保障经费预算控制金额</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突发事件财产损失率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开展应急演练工作，有效降低突发事件发生后财产损失率。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下降</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粮食应急保障能力</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完善应急体系，提高我市粮食应急保障能力。</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不断提高</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粮食应急网点及群众满意度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全市粮食应急保障网点及群众满意度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18" w:name="_Toc65759956"/>
      <w:r>
        <w:rPr>
          <w:rFonts w:ascii="方正仿宋_GBK" w:eastAsia="方正仿宋_GBK" w:hint="eastAsia"/>
          <w:b/>
          <w:sz w:val="28"/>
        </w:rPr>
        <w:t>13.粮食监督检查行政执法费用绩效目标表</w:t>
      </w:r>
      <w:bookmarkEnd w:id="18"/>
      <w:r>
        <w:rPr>
          <w:rFonts w:ascii="方正仿宋_GBK" w:eastAsia="方正仿宋_GBK"/>
          <w:b/>
          <w:vanish/>
          <w:sz w:val="28"/>
        </w:rPr>
        <w:t xml:space="preserve">{ </w:t>
      </w:r>
      <w:r>
        <w:rPr>
          <w:rFonts w:ascii="方正仿宋_GBK" w:eastAsia="方正仿宋_GBK" w:hint="eastAsia"/>
          <w:b/>
          <w:vanish/>
          <w:sz w:val="28"/>
        </w:rPr>
        <w:t>TC 13、粮食监督检查行政执法费用绩效目标表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13108121QFQC3SODU9GHB</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粮食监督检查行政执法费用</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我局按依据《国务院关于完善粮食流通体制改革政策措施的意见》规定每年每月都会对粮食企业进行监督检查，聘请法律顾问，不断规范粮食行政执法程序，健全行政执法相关制度，完善行政执法体系，提高执法水平。2021年将购置专业设备6台，有效增强粮食执法工作效率。10月底资金全部支付。</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按照上级及市局安排，每年对粮食企业进行执法检查不低于40次，保障粮食企业损失减少；保证行政检查执法办案效率，及时结案率达到100%。执法人员持证上岗率100%。使用此经费购置专业设备共6台，其中：执法仪器购置4台（数码相机1台、录音笔1个、执法仪1个、测距仪1个）；购置专业办公设备2台（笔记本电脑1台、打印机1个），提高执法工作的效率。</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购置设备数量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新增购置专用仪器设备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≥6台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执法行动全年次数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执法行动全年次数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≥40次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设备合格率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设备合格率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设备购置完成时间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按工作进度及时为执法人员配备齐全设备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≤10月</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按预算金额年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保障粮食质量达标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保障粮食质量达标率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购置设备持续使用年限</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此次购置设备能持续使用5年以上</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5年</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粮食企业对粮食执法办案满意度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粮食企业对粮食执法办案满意度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农户对粮食执法办案满意度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农户对粮食执法办案满意度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19" w:name="_Toc65759957"/>
      <w:r>
        <w:rPr>
          <w:rFonts w:ascii="方正仿宋_GBK" w:eastAsia="方正仿宋_GBK" w:hint="eastAsia"/>
          <w:b/>
          <w:sz w:val="28"/>
        </w:rPr>
        <w:t>14.项目评估论证费绩效目标表</w:t>
      </w:r>
      <w:bookmarkEnd w:id="19"/>
      <w:r>
        <w:rPr>
          <w:rFonts w:ascii="方正仿宋_GBK" w:eastAsia="方正仿宋_GBK"/>
          <w:b/>
          <w:vanish/>
          <w:sz w:val="28"/>
        </w:rPr>
        <w:t xml:space="preserve">{ </w:t>
      </w:r>
      <w:r>
        <w:rPr>
          <w:rFonts w:ascii="方正仿宋_GBK" w:eastAsia="方正仿宋_GBK" w:hint="eastAsia"/>
          <w:b/>
          <w:vanish/>
          <w:sz w:val="28"/>
        </w:rPr>
        <w:t>TC 14、项目评估论证费绩效目标表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13108121RG0MUOATBFH28</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项目评估论证费</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140.00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对全市政府投资项目、重大固定资产投资项目，由符合资质要求的咨询中介机构评估论证，且评估论证费用需由委托评估的项目审批机关承担。</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1.2021年预计对90家以上项目进行评估论证，出具评估报告，供市政府投资项目和重大固定资产投资项目决策使用。</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评审政府项目个数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评审政府项目及重大固定资投资的项目个数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≥90个</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评估报告合格率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评估报告合格率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意见建议采纳率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被市政府投资决策采纳的报告结论数量占总报告数量的比率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≥95%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出具评估报告时间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评估报告出具、评估论证工作完成时间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按合同约定时间出具报告</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总预算控制数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项目评估论证费不超过总预算金额</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≤140万元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市政府投资建设项目效益实现程度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确保市政府投资建设项目更好的发挥社会效益和经济效益</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有所提升</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市政府投资决策部门满意度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20" w:name="_Toc65759958"/>
      <w:r>
        <w:rPr>
          <w:rFonts w:ascii="方正仿宋_GBK" w:eastAsia="方正仿宋_GBK" w:hint="eastAsia"/>
          <w:b/>
          <w:sz w:val="28"/>
        </w:rPr>
        <w:t>15.霸州市大运河相关规划经费绩效目标表</w:t>
      </w:r>
      <w:bookmarkEnd w:id="20"/>
      <w:r>
        <w:rPr>
          <w:rFonts w:ascii="方正仿宋_GBK" w:eastAsia="方正仿宋_GBK"/>
          <w:b/>
          <w:vanish/>
          <w:sz w:val="28"/>
        </w:rPr>
        <w:t xml:space="preserve">{ </w:t>
      </w:r>
      <w:r>
        <w:rPr>
          <w:rFonts w:ascii="方正仿宋_GBK" w:eastAsia="方正仿宋_GBK" w:hint="eastAsia"/>
          <w:b/>
          <w:vanish/>
          <w:sz w:val="28"/>
        </w:rPr>
        <w:t>TC 15、霸州市大运河相关规划经费绩效目标表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13108121UPDB0I15OBIMW</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霸州市大运河相关规划经费</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500.00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霸州市依照“规划先行、科学引领”的原则，结合“全域规划、重点突出”的要求，科学合理编制我市“1+1+7+1”的大运河规划体系， 即1项《实施规划》总体指导，1项《实施方案》总体推进，《文化和旅游融合发展实施方案》、《土地利用实施方案》、《生态环境保护修复实施方案》、《河道水系治理管护实施方案》、《交通体系建设实施方案》、《文化遗产保护传承实施方案》、《美丽乡村片区建设实施方案》等7个实施方案和1个《整体景观和城市建筑风貌规划》共8个配套方案分类支撑。通过实施本项目，着力强化文化遗产保护传承，着力推进河道水</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1.本年度完成1项总体规划项目</w:t>
            </w:r>
          </w:p>
          <w:p>
            <w:pPr>
              <w:spacing w:line="300" w:lineRule="exact"/>
              <w:jc w:val="left"/>
              <w:rPr>
                <w:rFonts w:ascii="方正书宋_GBK" w:eastAsia="方正书宋_GBK" w:hint="eastAsia"/>
              </w:rPr>
            </w:pPr>
            <w:r>
              <w:rPr>
                <w:rFonts w:ascii="方正书宋_GBK" w:eastAsia="方正书宋_GBK" w:hint="eastAsia"/>
              </w:rPr>
              <w:t>2.本年度1项总方案和7项专项实施方案编制</w:t>
            </w:r>
          </w:p>
          <w:p>
            <w:pPr>
              <w:spacing w:line="300" w:lineRule="exact"/>
              <w:jc w:val="left"/>
              <w:rPr>
                <w:rFonts w:ascii="方正书宋_GBK" w:eastAsia="方正书宋_GBK"/>
              </w:rPr>
            </w:pPr>
            <w:r>
              <w:rPr>
                <w:rFonts w:ascii="方正书宋_GBK" w:eastAsia="方正书宋_GBK" w:hint="eastAsia"/>
              </w:rPr>
              <w:t>3.本年度完成《整体景观和城市建筑风貌规划》</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总体规划数量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总体规划数量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1套</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实施方案数量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7套</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分项规划数量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分项规划数量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1套</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验收通过率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验收通过率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完成验收时间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完成验收时间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≤18个月</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经费控制在预算范围之内</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≤500万元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霸州段大运河带动旅游人口增多</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霸州段大运河可带动旅游人口增多率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效果显著</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规划影响时间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规划影响时间持续的时间</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50年</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政府相关部门满意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政府相关部门满意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成果应用单位满意度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成果应用单位满意度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21" w:name="_Toc65759959"/>
      <w:r>
        <w:rPr>
          <w:rFonts w:ascii="方正仿宋_GBK" w:eastAsia="方正仿宋_GBK" w:hint="eastAsia"/>
          <w:b/>
          <w:sz w:val="28"/>
        </w:rPr>
        <w:t>16.粮食物资统计经费绩效目标表</w:t>
      </w:r>
      <w:bookmarkEnd w:id="21"/>
      <w:r>
        <w:rPr>
          <w:rFonts w:ascii="方正仿宋_GBK" w:eastAsia="方正仿宋_GBK"/>
          <w:b/>
          <w:vanish/>
          <w:sz w:val="28"/>
        </w:rPr>
        <w:t xml:space="preserve">{ </w:t>
      </w:r>
      <w:r>
        <w:rPr>
          <w:rFonts w:ascii="方正仿宋_GBK" w:eastAsia="方正仿宋_GBK" w:hint="eastAsia"/>
          <w:b/>
          <w:vanish/>
          <w:sz w:val="28"/>
        </w:rPr>
        <w:t>TC 16、粮食物资统计经费绩效目标表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13108121VRFISD6BM5NFB</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粮食物资统计经费</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统计经费项目金额2.00万元整，用于2021年粮食流通统计调查工作的各项费用开支，调查复印资料费、统计人员培训费、调查工作专兼职人员各项支出、配置专项调查设备、调查对象费用支出等，以保障全年粮食流通统计调查工作顺利开展和达到统计调查数据真实，有效发挥统计数据指导行业和粮油市场宏观调控作用。</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1.2021年确保各项统计调查工作科学有效开展，保障统计数据真实可靠，提升统计服务决策的能力。</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粮食流通统计工作</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每年例行开展粮食流通统计</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≥7项</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粮食流通统计开展次数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粮食流通统计开展次数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≥12次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社会粮油平衡调查工作</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每年例行开展社会粮油平衡调查工作</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1次</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统计调查达标率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保障粮食统计调查达标率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粮油统计调查开展频次</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粮油统计调查开展次数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1次/月</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粮油平衡调查频率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社会粮油平衡调查频率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统计工作预算控制数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统计预算控制数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≤2万元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科学化、规范化</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统计调查科学化，基础规范化</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不断促进</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资料真实、准确、完整、及时</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保障统计资料真实、准确、完整、及时</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历史数据</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调查工作满意度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粮食企业、个体户、农户、城镇户对粮食调查工作满意度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rFonts w:ascii="Times New Roman" w:hAnsi="Times New Roman"/>
          <w:b/>
          <w:sz w:val="28"/>
        </w:rPr>
      </w:pPr>
      <w:bookmarkStart w:id="22" w:name="_Toc65759960"/>
      <w:r>
        <w:rPr>
          <w:rFonts w:ascii="方正仿宋_GBK" w:eastAsia="方正仿宋_GBK" w:hint="eastAsia"/>
          <w:b/>
          <w:sz w:val="28"/>
        </w:rPr>
        <w:t>17.2018年-2019年新增规模以上服务业企业奖励及在统规模以上服务业数据直报员奖励资金★绩效目标表</w:t>
      </w:r>
      <w:bookmarkEnd w:id="22"/>
      <w:r>
        <w:rPr>
          <w:rFonts w:ascii="方正仿宋_GBK" w:eastAsia="方正仿宋_GBK"/>
          <w:b/>
          <w:vanish/>
          <w:sz w:val="28"/>
        </w:rPr>
        <w:t xml:space="preserve">{ </w:t>
      </w:r>
      <w:r>
        <w:rPr>
          <w:rFonts w:ascii="方正仿宋_GBK" w:eastAsia="方正仿宋_GBK" w:hint="eastAsia"/>
          <w:b/>
          <w:vanish/>
          <w:sz w:val="28"/>
        </w:rPr>
        <w:t>TC 17、2018年-2019年新增规模以上服务业企业奖励及在统规模以上服务业数据直报员奖励资金★绩效目标表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810001霸州市发展和改革局本级</w:t>
            </w:r>
          </w:p>
        </w:tc>
        <w:tc>
          <w:tcPr>
            <w:tcW w:w="1701" w:type="dxa"/>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13108121YZNXQ4AFXGK6F</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2018年-2019年新增规模以上服务业企业奖励及在统规模以上服务业数据直报员奖励资金★</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10.80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10.80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2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市统计局提供符合条件的企业和人员名单，市发改局2020年8月30日之前申报和拨付10家2018年-2019年新增的规上服务业企业和16名数据直报员。2019年度增速靠前且数据报送及时、数据质量高的企业数据直报员奖励资金</w:t>
            </w:r>
          </w:p>
        </w:tc>
      </w:tr>
      <w:tr>
        <w:trPr>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3月底</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6月底</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10月底</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12月底</w:t>
            </w:r>
          </w:p>
        </w:tc>
      </w:tr>
      <w:tr>
        <w:trPr>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op w:val="single" w:sz="6" w:space="0" w:color="000000"/>
              <w:left w:val="single" w:sz="6" w:space="0" w:color="000000"/>
              <w:bottom w:val="nil"/>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op w:val="single" w:sz="6" w:space="0" w:color="000000"/>
              <w:left w:val="single" w:sz="6" w:space="0" w:color="000000"/>
              <w:bottom w:val="nil"/>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1.奖励2家2018年新增的规上服务业企业，鼓励优质企业积极入统。</w:t>
            </w:r>
          </w:p>
          <w:p>
            <w:pPr>
              <w:spacing w:line="300" w:lineRule="exact"/>
              <w:jc w:val="left"/>
              <w:rPr>
                <w:rFonts w:ascii="方正书宋_GBK" w:eastAsia="方正书宋_GBK" w:hint="eastAsia"/>
              </w:rPr>
            </w:pPr>
            <w:r>
              <w:rPr>
                <w:rFonts w:ascii="方正书宋_GBK" w:eastAsia="方正书宋_GBK" w:hint="eastAsia"/>
              </w:rPr>
              <w:t>2.奖励8家2019年新增的规上服务业企业，鼓励优质企业积极入统。</w:t>
            </w:r>
          </w:p>
          <w:p>
            <w:pPr>
              <w:spacing w:line="300" w:lineRule="exact"/>
              <w:jc w:val="left"/>
              <w:rPr>
                <w:rFonts w:ascii="方正书宋_GBK" w:eastAsia="方正书宋_GBK"/>
              </w:rPr>
            </w:pPr>
            <w:r>
              <w:rPr>
                <w:rFonts w:ascii="方正书宋_GBK" w:eastAsia="方正书宋_GBK" w:hint="eastAsia"/>
              </w:rPr>
              <w:t>3.奖励2019年度规上服务业企业数据直报员16人，鼓励直报人员保质保量报送企业数据。</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奖励的企业单位个数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符合奖励政策，给予奖励的企业单位数量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10家</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奖励的在统企业数据直报员数量</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符合奖励政策，给予奖励的在统企业数据直报员数量</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16名</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拨付比例</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拨付的企业和直报员数量占总数的比率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资金支付时间</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资金支付时间不超过3月份</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≤3月份</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奖励资金预算控制数</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奖励企业和直报员的资金</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10.8万元</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w:t>
            </w:r>
          </w:p>
        </w:tc>
      </w:tr>
      <w:tr>
        <w:trPr>
          <w:cantSplit/>
          <w:trHeight w:val="36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规模以上服务业企业入统</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吸引和鼓励规模以上服务业企业入统，做好企业培育工作</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积极推动</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历史数据</w:t>
            </w:r>
          </w:p>
        </w:tc>
      </w:tr>
      <w:tr>
        <w:trPr>
          <w:cantSplit/>
          <w:trHeight w:val="369"/>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补贴企业满意度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受奖励的企业对资金的满意度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r>
        <w:trPr>
          <w:cantSplit/>
          <w:trHeight w:val="369"/>
        </w:trPr>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补贴直报员满意度</w:t>
            </w:r>
          </w:p>
        </w:tc>
        <w:tc>
          <w:tcPr>
            <w:tcW w:w="289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受奖励的直报员对资金的满意度</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sectPr>
          <w:pgSz w:w="11907" w:h="16839"/>
          <w:pgMar w:top="1984" w:right="1304" w:bottom="1134" w:left="1304" w:header="851" w:footer="992" w:gutter="0"/>
          <w:docGrid w:type="lines" w:linePitch="312" w:charSpace="0"/>
        </w:sectPr>
      </w:pPr>
    </w:p>
    <w:p>
      <w:pPr>
        <w:spacing w:line="500" w:lineRule="exact"/>
        <w:jc w:val="left"/>
        <w:rPr>
          <w:rFonts w:ascii="Times New Roman" w:eastAsia="方正仿宋_GBK" w:hAnsi="Times New Roman"/>
          <w:sz w:val="28"/>
        </w:rPr>
      </w:pPr>
    </w:p>
    <w:p>
      <w:pPr>
        <w:rPr>
          <w:rFonts w:ascii="仿宋_GB2312" w:eastAsia="仿宋_GB2312" w:cs="Times New Roman"/>
          <w:color w:val="000000"/>
          <w:sz w:val="32"/>
          <w:szCs w:val="32"/>
        </w:rPr>
      </w:pPr>
    </w:p>
    <w:p>
      <w:pPr>
        <w:ind w:firstLineChars="200" w:firstLine="640"/>
        <w:rPr>
          <w:rFonts w:ascii="黑体" w:eastAsia="黑体" w:cs="Times New Roman"/>
          <w:sz w:val="32"/>
          <w:szCs w:val="32"/>
        </w:rPr>
      </w:pPr>
      <w:r>
        <w:rPr>
          <w:rFonts w:ascii="黑体" w:eastAsia="黑体" w:cs="Times New Roman" w:hint="eastAsia"/>
          <w:sz w:val="32"/>
          <w:szCs w:val="32"/>
        </w:rPr>
        <w:t>六、政府采购预算情况</w:t>
      </w:r>
    </w:p>
    <w:p>
      <w:pPr>
        <w:ind w:firstLineChars="200" w:firstLine="640"/>
        <w:rPr>
          <w:rFonts w:ascii="仿宋_GB2312" w:eastAsia="仿宋_GB2312" w:cs="Times New Roman"/>
          <w:color w:val="000000"/>
          <w:sz w:val="32"/>
          <w:szCs w:val="32"/>
        </w:rPr>
      </w:pPr>
      <w:bookmarkStart w:id="23" w:name="_Toc471398468"/>
      <w:r>
        <w:rPr>
          <w:rFonts w:ascii="仿宋_GB2312" w:eastAsia="仿宋_GB2312" w:cs="Times New Roman" w:hint="eastAsia"/>
          <w:color w:val="000000"/>
          <w:sz w:val="32"/>
          <w:szCs w:val="32"/>
        </w:rPr>
        <w:t>20</w:t>
      </w:r>
      <w:r>
        <w:rPr>
          <w:rFonts w:ascii="仿宋_GB2312" w:eastAsia="仿宋_GB2312" w:cs="Times New Roman"/>
          <w:color w:val="000000"/>
          <w:sz w:val="32"/>
          <w:szCs w:val="32"/>
        </w:rPr>
        <w:t>2</w:t>
      </w:r>
      <w:r>
        <w:rPr>
          <w:rFonts w:ascii="仿宋_GB2312" w:eastAsia="仿宋_GB2312" w:cs="Times New Roman" w:hint="eastAsia"/>
          <w:color w:val="000000"/>
          <w:sz w:val="32"/>
          <w:szCs w:val="32"/>
          <w:lang w:val="en-US" w:eastAsia="zh-CN"/>
        </w:rPr>
        <w:t>1</w:t>
      </w:r>
      <w:r>
        <w:rPr>
          <w:rFonts w:ascii="仿宋_GB2312" w:eastAsia="仿宋_GB2312" w:cs="Times New Roman" w:hint="eastAsia"/>
          <w:color w:val="000000"/>
          <w:sz w:val="32"/>
          <w:szCs w:val="32"/>
        </w:rPr>
        <w:t>年，我部门安排政府采购预算</w:t>
      </w:r>
      <w:r>
        <w:rPr>
          <w:rFonts w:ascii="仿宋_GB2312" w:eastAsia="仿宋_GB2312" w:cs="Times New Roman" w:hint="eastAsia"/>
          <w:color w:val="000000"/>
          <w:sz w:val="32"/>
          <w:szCs w:val="32"/>
          <w:lang w:val="en-US" w:eastAsia="zh-CN"/>
        </w:rPr>
        <w:t>643</w:t>
      </w:r>
      <w:r>
        <w:rPr>
          <w:rFonts w:ascii="仿宋_GB2312" w:eastAsia="仿宋_GB2312" w:cs="Times New Roman" w:hint="eastAsia"/>
          <w:color w:val="000000"/>
          <w:sz w:val="32"/>
          <w:szCs w:val="32"/>
        </w:rPr>
        <w:t>万元。具体内容见下表。</w:t>
      </w:r>
    </w:p>
    <w:p>
      <w:pPr>
        <w:jc w:val="center"/>
        <w:outlineLvl w:val="0"/>
        <w:rPr>
          <w:rFonts w:ascii="方正小标宋_GBK" w:eastAsia="方正小标宋_GBK" w:cs="Times New Roman"/>
          <w:sz w:val="32"/>
          <w:szCs w:val="24"/>
        </w:rPr>
      </w:pPr>
      <w:r>
        <w:rPr>
          <w:rFonts w:ascii="方正小标宋_GBK" w:eastAsia="方正小标宋_GBK" w:cs="Times New Roman" w:hint="eastAsia"/>
          <w:sz w:val="32"/>
          <w:szCs w:val="24"/>
        </w:rPr>
        <w:t>部门政府采购预算</w:t>
      </w:r>
      <w:bookmarkEnd w:id="23"/>
    </w:p>
    <w:tbl>
      <w:tblPr>
        <w:jc w:val="center"/>
        <w:tblW w:w="14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90"/>
        <w:gridCol w:w="1068"/>
        <w:gridCol w:w="1137"/>
        <w:gridCol w:w="1140"/>
        <w:gridCol w:w="794"/>
        <w:gridCol w:w="962"/>
        <w:gridCol w:w="904"/>
        <w:gridCol w:w="898"/>
        <w:gridCol w:w="898"/>
        <w:gridCol w:w="898"/>
        <w:gridCol w:w="720"/>
        <w:gridCol w:w="980"/>
        <w:gridCol w:w="884"/>
        <w:gridCol w:w="490"/>
      </w:tblGrid>
      <w:tr>
        <w:trPr>
          <w:tblHeader/>
        </w:trPr>
        <w:tc>
          <w:tcPr>
            <w:tcW w:w="8395" w:type="dxa"/>
            <w:gridSpan w:val="7"/>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left"/>
              <w:rPr>
                <w:rFonts w:ascii="方正小标宋_GBK" w:eastAsia="方正小标宋_GBK" w:cs="Times New Roman" w:hint="eastAsia"/>
                <w:sz w:val="24"/>
                <w:szCs w:val="24"/>
                <w:lang w:val="en-US" w:eastAsia="zh-CN"/>
              </w:rPr>
            </w:pPr>
            <w:r>
              <w:rPr>
                <w:rFonts w:ascii="方正小标宋_GBK" w:eastAsia="方正小标宋_GBK" w:cs="Times New Roman" w:hint="eastAsia"/>
                <w:sz w:val="18"/>
                <w:szCs w:val="18"/>
                <w:lang w:val="en-US" w:eastAsia="zh-CN"/>
              </w:rPr>
              <w:t>810</w:t>
            </w:r>
            <w:r>
              <w:rPr>
                <w:rFonts w:ascii="方正小标宋_GBK" w:eastAsia="方正小标宋_GBK" w:cs="Times New Roman" w:hint="eastAsia"/>
                <w:sz w:val="18"/>
                <w:szCs w:val="18"/>
              </w:rPr>
              <w:t>霸州市</w:t>
            </w:r>
            <w:r>
              <w:rPr>
                <w:rFonts w:ascii="方正小标宋_GBK" w:eastAsia="方正小标宋_GBK" w:cs="Times New Roman" w:hint="eastAsia"/>
                <w:sz w:val="18"/>
                <w:szCs w:val="18"/>
                <w:lang w:val="en-US" w:eastAsia="zh-CN"/>
              </w:rPr>
              <w:t>发展和改革局</w:t>
            </w:r>
          </w:p>
        </w:tc>
        <w:tc>
          <w:tcPr>
            <w:tcW w:w="5768" w:type="dxa"/>
            <w:gridSpan w:val="7"/>
            <w:tcBorders>
              <w:top w:val="single" w:sz="6" w:space="0" w:color="FFFFFF"/>
              <w:left w:val="single" w:sz="6" w:space="0" w:color="FFFFFF"/>
              <w:bottom w:val="single" w:sz="6" w:space="0" w:color="000000"/>
              <w:right w:val="single" w:sz="6" w:space="0" w:color="FFFFFF"/>
            </w:tcBorders>
            <w:shd w:val="clear" w:color="auto" w:fill="auto"/>
            <w:vAlign w:val="center"/>
          </w:tcPr>
          <w:p>
            <w:pPr>
              <w:spacing w:line="300" w:lineRule="exact"/>
              <w:jc w:val="right"/>
              <w:rPr>
                <w:rFonts w:ascii="方正小标宋_GBK" w:eastAsia="方正小标宋_GBK" w:cs="Times New Roman"/>
                <w:sz w:val="18"/>
                <w:szCs w:val="18"/>
              </w:rPr>
            </w:pPr>
            <w:r>
              <w:rPr>
                <w:rFonts w:ascii="方正小标宋_GBK" w:eastAsia="方正小标宋_GBK" w:cs="Times New Roman" w:hint="eastAsia"/>
                <w:sz w:val="18"/>
                <w:szCs w:val="18"/>
              </w:rPr>
              <w:t>单位：万元</w:t>
            </w:r>
          </w:p>
        </w:tc>
      </w:tr>
      <w:tr>
        <w:trPr>
          <w:tblHeader/>
        </w:trPr>
        <w:tc>
          <w:tcPr>
            <w:tcW w:w="345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政府采购项目来源</w:t>
            </w:r>
          </w:p>
        </w:tc>
        <w:tc>
          <w:tcPr>
            <w:tcW w:w="113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采购物品名称</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政府采购目录序号</w:t>
            </w:r>
          </w:p>
        </w:tc>
        <w:tc>
          <w:tcPr>
            <w:tcW w:w="7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数量  单位</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数量</w:t>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单价</w:t>
            </w:r>
          </w:p>
        </w:tc>
        <w:tc>
          <w:tcPr>
            <w:tcW w:w="576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政府采购金额</w:t>
            </w:r>
          </w:p>
        </w:tc>
      </w:tr>
      <w:tr>
        <w:trPr>
          <w:tblHeader/>
        </w:trPr>
        <w:tc>
          <w:tcPr>
            <w:tcW w:w="23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项目名称</w:t>
            </w:r>
          </w:p>
        </w:tc>
        <w:tc>
          <w:tcPr>
            <w:tcW w:w="106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预算资金</w:t>
            </w:r>
          </w:p>
        </w:tc>
        <w:tc>
          <w:tcPr>
            <w:tcW w:w="113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7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9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总计</w:t>
            </w:r>
          </w:p>
        </w:tc>
        <w:tc>
          <w:tcPr>
            <w:tcW w:w="438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当年部门预算安排资金</w:t>
            </w:r>
          </w:p>
        </w:tc>
        <w:tc>
          <w:tcPr>
            <w:tcW w:w="4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其他渠道资金</w:t>
            </w:r>
          </w:p>
        </w:tc>
      </w:tr>
      <w:tr>
        <w:trPr>
          <w:trHeight w:val="1190"/>
          <w:tblHeader/>
        </w:trPr>
        <w:tc>
          <w:tcPr>
            <w:tcW w:w="23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06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3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11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7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9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9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合计</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一般公共预算拨款</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基金预算拨款</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财政专户核拨</w:t>
            </w:r>
          </w:p>
        </w:tc>
        <w:tc>
          <w:tcPr>
            <w:tcW w:w="88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其他来源收入</w:t>
            </w:r>
          </w:p>
        </w:tc>
        <w:tc>
          <w:tcPr>
            <w:tcW w:w="49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tc>
      </w:tr>
      <w:tr>
        <w:tc>
          <w:tcPr>
            <w:tcW w:w="239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hint="eastAsia"/>
                <w:b/>
                <w:szCs w:val="24"/>
              </w:rPr>
              <w:t>合　计</w:t>
            </w:r>
          </w:p>
        </w:tc>
        <w:tc>
          <w:tcPr>
            <w:tcW w:w="106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Cs w:val="24"/>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b/>
                <w:szCs w:val="24"/>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b/>
                <w:szCs w:val="24"/>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b/>
                <w:szCs w:val="24"/>
              </w:rPr>
            </w:pP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Cs w:val="24"/>
              </w:rPr>
            </w:pP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643</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643</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643</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143</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500</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Cs w:val="24"/>
              </w:rPr>
            </w:pPr>
          </w:p>
        </w:tc>
        <w:tc>
          <w:tcPr>
            <w:tcW w:w="88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Cs w:val="24"/>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Cs w:val="24"/>
              </w:rPr>
            </w:pPr>
          </w:p>
        </w:tc>
      </w:tr>
      <w:tr>
        <w:tc>
          <w:tcPr>
            <w:tcW w:w="239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项目评估论证费</w:t>
            </w:r>
          </w:p>
        </w:tc>
        <w:tc>
          <w:tcPr>
            <w:tcW w:w="106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140</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其他服务</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hint="eastAsia"/>
                <w:b/>
                <w:sz w:val="18"/>
                <w:szCs w:val="18"/>
                <w:lang w:val="en-US" w:eastAsia="zh-CN"/>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hint="eastAsia"/>
                <w:b/>
                <w:sz w:val="18"/>
                <w:szCs w:val="18"/>
                <w:lang w:val="en-US" w:eastAsia="zh-CN"/>
              </w:rPr>
            </w:pP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140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140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140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140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方正书宋_GBK" w:eastAsia="方正书宋_GBK" w:cs="Times New Roman" w:hint="eastAsia"/>
                <w:b/>
                <w:sz w:val="18"/>
                <w:szCs w:val="18"/>
                <w:lang w:val="en-US" w:eastAsia="zh-CN"/>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Cs w:val="24"/>
              </w:rPr>
            </w:pPr>
          </w:p>
        </w:tc>
        <w:tc>
          <w:tcPr>
            <w:tcW w:w="88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Cs w:val="24"/>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Cs w:val="24"/>
              </w:rPr>
            </w:pPr>
          </w:p>
        </w:tc>
      </w:tr>
      <w:tr>
        <w:trPr>
          <w:trHeight w:val="818"/>
        </w:trPr>
        <w:tc>
          <w:tcPr>
            <w:tcW w:w="239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华文中宋" w:eastAsia="华文中宋" w:cs="华文中宋" w:hint="eastAsia"/>
                <w:b w:val="0"/>
                <w:bCs/>
                <w:sz w:val="18"/>
                <w:szCs w:val="18"/>
              </w:rPr>
            </w:pPr>
            <w:r>
              <w:rPr>
                <w:rFonts w:ascii="华文中宋" w:eastAsia="华文中宋" w:cs="华文中宋" w:hint="eastAsia"/>
                <w:b w:val="0"/>
                <w:bCs/>
                <w:sz w:val="18"/>
                <w:szCs w:val="18"/>
              </w:rPr>
              <w:t>粮食监督检查行政执法工作经费</w:t>
            </w:r>
          </w:p>
        </w:tc>
        <w:tc>
          <w:tcPr>
            <w:tcW w:w="106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3</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执法设备</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hint="eastAsia"/>
                <w:b/>
                <w:sz w:val="18"/>
                <w:szCs w:val="18"/>
                <w:lang w:val="en-US" w:eastAsia="zh-CN"/>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台</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6</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3</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3</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3</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3</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 w:val="18"/>
                <w:szCs w:val="18"/>
              </w:rPr>
            </w:pPr>
          </w:p>
        </w:tc>
        <w:tc>
          <w:tcPr>
            <w:tcW w:w="88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 w:val="18"/>
                <w:szCs w:val="18"/>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 w:val="18"/>
                <w:szCs w:val="18"/>
              </w:rPr>
            </w:pPr>
          </w:p>
        </w:tc>
      </w:tr>
      <w:tr>
        <w:tc>
          <w:tcPr>
            <w:tcW w:w="239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center"/>
              <w:rPr>
                <w:rFonts w:ascii="华文中宋" w:eastAsia="华文中宋" w:cs="华文中宋" w:hint="eastAsia"/>
                <w:b w:val="0"/>
                <w:bCs/>
                <w:sz w:val="18"/>
                <w:szCs w:val="18"/>
              </w:rPr>
            </w:pPr>
            <w:r>
              <w:rPr>
                <w:rFonts w:ascii="华文中宋" w:eastAsia="华文中宋" w:cs="华文中宋" w:hint="eastAsia"/>
                <w:b w:val="0"/>
                <w:bCs/>
                <w:sz w:val="18"/>
                <w:szCs w:val="18"/>
              </w:rPr>
              <w:t>霸州市大运河相关规划经费</w:t>
            </w:r>
          </w:p>
        </w:tc>
        <w:tc>
          <w:tcPr>
            <w:tcW w:w="106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500</w:t>
            </w:r>
          </w:p>
        </w:tc>
        <w:tc>
          <w:tcPr>
            <w:tcW w:w="1137"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其他服务</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hint="eastAsia"/>
                <w:b/>
                <w:sz w:val="18"/>
                <w:szCs w:val="18"/>
                <w:lang w:val="en-US" w:eastAsia="zh-CN"/>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lef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套</w:t>
            </w:r>
          </w:p>
        </w:tc>
        <w:tc>
          <w:tcPr>
            <w:tcW w:w="962"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1</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500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500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500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hint="eastAsia"/>
                <w:b/>
                <w:sz w:val="18"/>
                <w:szCs w:val="18"/>
                <w:lang w:val="en-US" w:eastAsia="zh-CN"/>
              </w:rPr>
            </w:pPr>
            <w:r>
              <w:rPr>
                <w:rFonts w:ascii="方正书宋_GBK" w:eastAsia="方正书宋_GBK" w:cs="Times New Roman" w:hint="eastAsia"/>
                <w:b/>
                <w:sz w:val="18"/>
                <w:szCs w:val="18"/>
                <w:lang w:val="en-US" w:eastAsia="zh-CN"/>
              </w:rPr>
              <w:t>500</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 w:val="18"/>
                <w:szCs w:val="18"/>
              </w:rPr>
            </w:pPr>
          </w:p>
        </w:tc>
        <w:tc>
          <w:tcPr>
            <w:tcW w:w="884"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 w:val="18"/>
                <w:szCs w:val="18"/>
              </w:rPr>
            </w:pPr>
          </w:p>
        </w:tc>
        <w:tc>
          <w:tcPr>
            <w:tcW w:w="49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line="300" w:lineRule="exact"/>
              <w:jc w:val="right"/>
              <w:rPr>
                <w:rFonts w:ascii="方正书宋_GBK" w:eastAsia="方正书宋_GBK" w:cs="Times New Roman"/>
                <w:b/>
                <w:sz w:val="18"/>
                <w:szCs w:val="18"/>
              </w:rPr>
            </w:pPr>
          </w:p>
        </w:tc>
      </w:tr>
    </w:tbl>
    <w:p>
      <w:pPr>
        <w:ind w:firstLineChars="200" w:firstLine="640"/>
        <w:rPr>
          <w:rFonts w:ascii="黑体" w:eastAsia="黑体" w:cs="Times New Roman" w:hint="eastAsia"/>
          <w:sz w:val="32"/>
          <w:szCs w:val="32"/>
        </w:rPr>
      </w:pPr>
    </w:p>
    <w:p>
      <w:pPr>
        <w:ind w:firstLineChars="200" w:firstLine="640"/>
        <w:rPr>
          <w:rFonts w:ascii="黑体" w:eastAsia="黑体" w:cs="Times New Roman"/>
          <w:sz w:val="32"/>
          <w:szCs w:val="32"/>
        </w:rPr>
      </w:pPr>
      <w:r>
        <w:rPr>
          <w:rFonts w:ascii="黑体" w:eastAsia="黑体" w:cs="Times New Roman" w:hint="eastAsia"/>
          <w:sz w:val="32"/>
          <w:szCs w:val="32"/>
        </w:rPr>
        <w:t>七、国有资产信息</w:t>
      </w:r>
    </w:p>
    <w:p>
      <w:pPr>
        <w:ind w:firstLineChars="200" w:firstLine="640"/>
        <w:rPr>
          <w:rFonts w:ascii="仿宋" w:eastAsia="仿宋" w:cs="仿宋" w:hint="eastAsia"/>
          <w:b w:val="0"/>
          <w:bCs w:val="0"/>
          <w:color w:val="auto"/>
          <w:sz w:val="32"/>
          <w:szCs w:val="32"/>
        </w:rPr>
      </w:pPr>
      <w:r>
        <w:rPr>
          <w:rFonts w:ascii="仿宋" w:eastAsia="仿宋" w:cs="仿宋" w:hint="eastAsia"/>
          <w:b w:val="0"/>
          <w:bCs w:val="0"/>
          <w:sz w:val="32"/>
          <w:szCs w:val="32"/>
        </w:rPr>
        <w:t>霸州市</w:t>
      </w:r>
      <w:r>
        <w:rPr>
          <w:rFonts w:ascii="仿宋" w:eastAsia="仿宋" w:cs="仿宋" w:hint="eastAsia"/>
          <w:b w:val="0"/>
          <w:bCs w:val="0"/>
          <w:sz w:val="32"/>
          <w:szCs w:val="32"/>
          <w:lang w:val="en-US" w:eastAsia="zh-CN"/>
        </w:rPr>
        <w:t>发</w:t>
      </w:r>
      <w:r>
        <w:rPr>
          <w:rFonts w:ascii="仿宋" w:eastAsia="仿宋" w:cs="仿宋" w:hint="eastAsia"/>
          <w:b w:val="0"/>
          <w:bCs w:val="0"/>
          <w:color w:val="auto"/>
          <w:sz w:val="32"/>
          <w:szCs w:val="32"/>
          <w:lang w:val="en-US" w:eastAsia="zh-CN"/>
        </w:rPr>
        <w:t>展和改革局</w:t>
      </w:r>
      <w:r>
        <w:rPr>
          <w:rFonts w:ascii="仿宋" w:eastAsia="仿宋" w:cs="仿宋" w:hint="eastAsia"/>
          <w:b w:val="0"/>
          <w:bCs w:val="0"/>
          <w:color w:val="auto"/>
          <w:sz w:val="32"/>
          <w:szCs w:val="32"/>
        </w:rPr>
        <w:t>上年末固定资产金额为</w:t>
      </w:r>
      <w:r>
        <w:rPr>
          <w:rFonts w:ascii="仿宋" w:eastAsia="仿宋" w:cs="仿宋" w:hint="eastAsia"/>
          <w:b w:val="0"/>
          <w:bCs w:val="0"/>
          <w:color w:val="auto"/>
          <w:sz w:val="32"/>
          <w:szCs w:val="32"/>
          <w:lang w:val="en-US" w:eastAsia="zh-CN"/>
        </w:rPr>
        <w:t>360.88</w:t>
      </w:r>
      <w:r>
        <w:rPr>
          <w:rFonts w:ascii="仿宋" w:eastAsia="仿宋" w:cs="仿宋" w:hint="eastAsia"/>
          <w:b w:val="0"/>
          <w:bCs w:val="0"/>
          <w:color w:val="auto"/>
          <w:sz w:val="32"/>
          <w:szCs w:val="32"/>
        </w:rPr>
        <w:t>万元（详见下表）。本年度各单位（处室）拟购置固定资产总额为</w:t>
      </w:r>
      <w:r>
        <w:rPr>
          <w:rFonts w:ascii="仿宋" w:eastAsia="仿宋" w:cs="仿宋" w:hint="eastAsia"/>
          <w:b w:val="0"/>
          <w:bCs w:val="0"/>
          <w:color w:val="auto"/>
          <w:sz w:val="32"/>
          <w:szCs w:val="32"/>
          <w:lang w:val="en-US" w:eastAsia="zh-CN"/>
        </w:rPr>
        <w:t>3</w:t>
      </w:r>
      <w:r>
        <w:rPr>
          <w:rFonts w:ascii="仿宋" w:eastAsia="仿宋" w:cs="仿宋" w:hint="eastAsia"/>
          <w:b w:val="0"/>
          <w:bCs w:val="0"/>
          <w:color w:val="auto"/>
          <w:sz w:val="32"/>
          <w:szCs w:val="32"/>
        </w:rPr>
        <w:t>万元，主要为计算机设备、打印设备、办公家具等，已列入政府采购预算，详见政府采购预算表。</w:t>
      </w:r>
    </w:p>
    <w:tbl>
      <w:tblPr>
        <w:jc w:val="left"/>
        <w:tblInd w:w="93" w:type="dxa"/>
        <w:tblW w:w="1348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224"/>
        <w:gridCol w:w="3155"/>
        <w:gridCol w:w="5103"/>
      </w:tblGrid>
      <w:tr>
        <w:trPr>
          <w:trHeight w:val="705"/>
        </w:trPr>
        <w:tc>
          <w:tcPr>
            <w:tcW w:w="13482" w:type="dxa"/>
            <w:gridSpan w:val="3"/>
            <w:tcBorders>
              <w:top w:val="nil"/>
              <w:left w:val="nil"/>
              <w:bottom w:val="nil"/>
              <w:right w:val="nil"/>
            </w:tcBorders>
            <w:shd w:val="clear" w:color="auto" w:fill="auto"/>
            <w:vAlign w:val="center"/>
          </w:tcPr>
          <w:p>
            <w:pPr>
              <w:widowControl/>
              <w:jc w:val="center"/>
              <w:rPr>
                <w:rFonts w:ascii="宋体" w:eastAsia="宋体" w:cs="宋体"/>
                <w:b/>
                <w:bCs/>
                <w:kern w:val="0"/>
                <w:sz w:val="32"/>
                <w:szCs w:val="32"/>
              </w:rPr>
            </w:pPr>
          </w:p>
          <w:p>
            <w:pPr>
              <w:widowControl/>
              <w:jc w:val="center"/>
              <w:rPr>
                <w:rFonts w:ascii="宋体" w:eastAsia="宋体" w:cs="宋体"/>
                <w:b/>
                <w:bCs/>
                <w:kern w:val="0"/>
                <w:sz w:val="32"/>
                <w:szCs w:val="32"/>
              </w:rPr>
            </w:pPr>
            <w:r>
              <w:rPr>
                <w:rFonts w:ascii="宋体" w:eastAsia="宋体" w:cs="宋体" w:hint="eastAsia"/>
                <w:b/>
                <w:bCs/>
                <w:kern w:val="0"/>
                <w:sz w:val="32"/>
                <w:szCs w:val="32"/>
              </w:rPr>
              <w:t>霸州市</w:t>
            </w:r>
            <w:r>
              <w:rPr>
                <w:rFonts w:ascii="宋体" w:eastAsia="宋体" w:cs="宋体" w:hint="eastAsia"/>
                <w:b/>
                <w:bCs/>
                <w:kern w:val="0"/>
                <w:sz w:val="32"/>
                <w:szCs w:val="32"/>
                <w:lang w:val="en-US" w:eastAsia="zh-CN"/>
              </w:rPr>
              <w:t>发展和改革局</w:t>
            </w:r>
            <w:r>
              <w:rPr>
                <w:rFonts w:ascii="宋体" w:eastAsia="宋体" w:cs="宋体" w:hint="eastAsia"/>
                <w:b/>
                <w:bCs/>
                <w:kern w:val="0"/>
                <w:sz w:val="32"/>
                <w:szCs w:val="32"/>
              </w:rPr>
              <w:t>部门固定资产占用情况表</w:t>
            </w:r>
          </w:p>
        </w:tc>
      </w:tr>
      <w:tr>
        <w:trPr>
          <w:trHeight w:val="510"/>
        </w:trPr>
        <w:tc>
          <w:tcPr>
            <w:tcW w:w="8379" w:type="dxa"/>
            <w:gridSpan w:val="2"/>
            <w:tcBorders>
              <w:top w:val="nil"/>
              <w:left w:val="nil"/>
              <w:bottom w:val="nil"/>
              <w:right w:val="nil"/>
            </w:tcBorders>
            <w:shd w:val="clear" w:color="auto" w:fill="auto"/>
            <w:vAlign w:val="center"/>
          </w:tcPr>
          <w:p>
            <w:pPr>
              <w:widowControl/>
              <w:jc w:val="left"/>
              <w:rPr>
                <w:rFonts w:ascii="宋体" w:eastAsia="宋体" w:cs="宋体" w:hint="eastAsia"/>
                <w:kern w:val="0"/>
                <w:sz w:val="22"/>
                <w:lang w:val="en-US" w:eastAsia="zh-CN"/>
              </w:rPr>
            </w:pPr>
            <w:r>
              <w:rPr>
                <w:rFonts w:ascii="宋体" w:eastAsia="宋体" w:cs="宋体" w:hint="eastAsia"/>
                <w:kern w:val="0"/>
                <w:sz w:val="22"/>
              </w:rPr>
              <w:t>编制部门：</w:t>
            </w:r>
            <w:r>
              <w:rPr>
                <w:rFonts w:ascii="宋体" w:eastAsia="宋体" w:cs="宋体" w:hint="eastAsia"/>
                <w:kern w:val="0"/>
                <w:sz w:val="22"/>
                <w:lang w:val="en-US" w:eastAsia="zh-CN"/>
              </w:rPr>
              <w:t>810</w:t>
            </w:r>
            <w:r>
              <w:rPr>
                <w:rFonts w:ascii="宋体" w:eastAsia="宋体" w:cs="宋体" w:hint="eastAsia"/>
                <w:kern w:val="0"/>
                <w:sz w:val="22"/>
              </w:rPr>
              <w:t>霸州市</w:t>
            </w:r>
            <w:r>
              <w:rPr>
                <w:rFonts w:ascii="宋体" w:eastAsia="宋体" w:cs="宋体" w:hint="eastAsia"/>
                <w:kern w:val="0"/>
                <w:sz w:val="22"/>
                <w:lang w:val="en-US" w:eastAsia="zh-CN"/>
              </w:rPr>
              <w:t>发展和改革局</w:t>
            </w:r>
          </w:p>
        </w:tc>
        <w:tc>
          <w:tcPr>
            <w:tcW w:w="5103" w:type="dxa"/>
            <w:tcBorders>
              <w:top w:val="nil"/>
              <w:left w:val="nil"/>
              <w:bottom w:val="nil"/>
              <w:right w:val="nil"/>
            </w:tcBorders>
            <w:shd w:val="clear" w:color="auto" w:fill="auto"/>
            <w:vAlign w:val="center"/>
          </w:tcPr>
          <w:p>
            <w:pPr>
              <w:widowControl/>
              <w:ind w:firstLineChars="750" w:firstLine="1650"/>
              <w:jc w:val="left"/>
              <w:rPr>
                <w:rFonts w:ascii="宋体" w:eastAsia="宋体" w:cs="宋体"/>
                <w:kern w:val="0"/>
                <w:sz w:val="22"/>
              </w:rPr>
            </w:pPr>
            <w:r>
              <w:rPr>
                <w:rFonts w:ascii="宋体" w:eastAsia="宋体" w:cs="宋体" w:hint="eastAsia"/>
                <w:kern w:val="0"/>
                <w:sz w:val="22"/>
              </w:rPr>
              <w:t>截止时间：20</w:t>
            </w:r>
            <w:r>
              <w:rPr>
                <w:rFonts w:ascii="宋体" w:eastAsia="宋体" w:cs="宋体" w:hint="eastAsia"/>
                <w:kern w:val="0"/>
                <w:sz w:val="22"/>
                <w:lang w:val="en-US" w:eastAsia="zh-CN"/>
              </w:rPr>
              <w:t>20</w:t>
            </w:r>
            <w:r>
              <w:rPr>
                <w:rFonts w:ascii="宋体" w:eastAsia="宋体" w:cs="宋体" w:hint="eastAsia"/>
                <w:kern w:val="0"/>
                <w:sz w:val="22"/>
              </w:rPr>
              <w:t xml:space="preserve">年12月31日  </w:t>
            </w:r>
          </w:p>
        </w:tc>
      </w:tr>
      <w:tr>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b/>
                <w:bCs/>
                <w:kern w:val="0"/>
                <w:sz w:val="22"/>
              </w:rPr>
            </w:pPr>
            <w:r>
              <w:rPr>
                <w:rFonts w:ascii="宋体" w:eastAsia="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宋体" w:cs="宋体"/>
                <w:b/>
                <w:bCs/>
                <w:kern w:val="0"/>
                <w:sz w:val="22"/>
              </w:rPr>
            </w:pPr>
            <w:r>
              <w:rPr>
                <w:rFonts w:ascii="宋体" w:eastAsia="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宋体" w:cs="宋体"/>
                <w:b/>
                <w:bCs/>
                <w:kern w:val="0"/>
                <w:sz w:val="22"/>
              </w:rPr>
            </w:pPr>
            <w:r>
              <w:rPr>
                <w:rFonts w:ascii="宋体" w:eastAsia="宋体" w:cs="宋体" w:hint="eastAsia"/>
                <w:b/>
                <w:bCs/>
                <w:kern w:val="0"/>
                <w:sz w:val="22"/>
              </w:rPr>
              <w:t>价值（金额单位：万元）</w:t>
            </w:r>
          </w:p>
        </w:tc>
      </w:tr>
      <w:tr>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eastAsia="宋体" w:cs="宋体"/>
                <w:kern w:val="0"/>
                <w:sz w:val="22"/>
              </w:rPr>
            </w:pPr>
            <w:r>
              <w:rPr>
                <w:rFonts w:ascii="宋体" w:eastAsia="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2"/>
              </w:rPr>
            </w:pPr>
            <w:r>
              <w:rPr>
                <w:rFonts w:ascii="宋体" w:eastAsia="宋体" w:cs="宋体" w:hint="eastAsia"/>
                <w:kern w:val="0"/>
                <w:sz w:val="22"/>
              </w:rPr>
              <w:t>——</w:t>
            </w:r>
          </w:p>
        </w:tc>
        <w:tc>
          <w:tcPr>
            <w:tcW w:w="5103"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2"/>
              </w:rPr>
            </w:pPr>
            <w:r>
              <w:rPr>
                <w:rFonts w:ascii="宋体" w:eastAsia="宋体" w:cs="宋体"/>
                <w:kern w:val="0"/>
                <w:sz w:val="22"/>
              </w:rPr>
              <w:t>360.88</w:t>
            </w:r>
          </w:p>
        </w:tc>
      </w:tr>
      <w:tr>
        <w:trPr>
          <w:trHeight w:val="578"/>
        </w:trPr>
        <w:tc>
          <w:tcPr>
            <w:tcW w:w="5224"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kern w:val="0"/>
                <w:sz w:val="22"/>
              </w:rPr>
            </w:pPr>
            <w:r>
              <w:rPr>
                <w:rFonts w:ascii="宋体" w:eastAsia="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hint="eastAsia"/>
                <w:kern w:val="0"/>
                <w:sz w:val="22"/>
                <w:lang w:val="en-US" w:eastAsia="zh-CN"/>
              </w:rPr>
            </w:pPr>
            <w:r>
              <w:rPr>
                <w:rFonts w:ascii="宋体" w:eastAsia="宋体" w:cs="宋体" w:hint="eastAsia"/>
                <w:kern w:val="0"/>
                <w:sz w:val="22"/>
                <w:lang w:val="en-US" w:eastAsia="zh-CN"/>
              </w:rPr>
              <w:t>475</w:t>
            </w:r>
          </w:p>
        </w:tc>
        <w:tc>
          <w:tcPr>
            <w:tcW w:w="5103"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2"/>
              </w:rPr>
            </w:pPr>
            <w:r>
              <w:rPr>
                <w:rFonts w:ascii="宋体" w:eastAsia="宋体" w:cs="宋体"/>
                <w:kern w:val="0"/>
                <w:sz w:val="22"/>
              </w:rPr>
              <w:t>118.8</w:t>
            </w:r>
          </w:p>
        </w:tc>
      </w:tr>
      <w:tr>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kern w:val="0"/>
                <w:sz w:val="22"/>
              </w:rPr>
            </w:pPr>
            <w:r>
              <w:rPr>
                <w:rFonts w:ascii="宋体" w:eastAsia="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hint="eastAsia"/>
                <w:kern w:val="0"/>
                <w:sz w:val="22"/>
                <w:lang w:val="en-US" w:eastAsia="zh-CN"/>
              </w:rPr>
            </w:pPr>
            <w:r>
              <w:rPr>
                <w:rFonts w:ascii="宋体" w:eastAsia="宋体" w:cs="宋体" w:hint="eastAsia"/>
                <w:kern w:val="0"/>
                <w:sz w:val="22"/>
                <w:lang w:val="en-US" w:eastAsia="zh-CN"/>
              </w:rPr>
              <w:t>475</w:t>
            </w:r>
          </w:p>
        </w:tc>
        <w:tc>
          <w:tcPr>
            <w:tcW w:w="5103"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2"/>
              </w:rPr>
            </w:pPr>
            <w:r>
              <w:rPr>
                <w:rFonts w:ascii="宋体" w:eastAsia="宋体" w:cs="宋体"/>
                <w:kern w:val="0"/>
                <w:sz w:val="22"/>
              </w:rPr>
              <w:t>118.8</w:t>
            </w:r>
          </w:p>
        </w:tc>
      </w:tr>
      <w:tr>
        <w:trPr>
          <w:trHeight w:val="566"/>
        </w:trPr>
        <w:tc>
          <w:tcPr>
            <w:tcW w:w="5224"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kern w:val="0"/>
                <w:sz w:val="22"/>
              </w:rPr>
            </w:pPr>
            <w:r>
              <w:rPr>
                <w:rFonts w:ascii="宋体" w:eastAsia="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hint="eastAsia"/>
                <w:kern w:val="0"/>
                <w:sz w:val="22"/>
                <w:lang w:val="en-US" w:eastAsia="zh-CN"/>
              </w:rPr>
            </w:pPr>
            <w:r>
              <w:rPr>
                <w:rFonts w:ascii="宋体" w:eastAsia="宋体" w:cs="宋体" w:hint="eastAsia"/>
                <w:kern w:val="0"/>
                <w:sz w:val="22"/>
                <w:lang w:val="en-US" w:eastAsia="zh-CN"/>
              </w:rPr>
              <w:t>6</w:t>
            </w:r>
          </w:p>
        </w:tc>
        <w:tc>
          <w:tcPr>
            <w:tcW w:w="5103"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2"/>
              </w:rPr>
            </w:pPr>
            <w:r>
              <w:rPr>
                <w:rFonts w:ascii="宋体" w:eastAsia="宋体" w:cs="宋体"/>
                <w:kern w:val="0"/>
                <w:sz w:val="22"/>
              </w:rPr>
              <w:t>103.7</w:t>
            </w:r>
          </w:p>
        </w:tc>
      </w:tr>
      <w:tr>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kern w:val="0"/>
                <w:sz w:val="22"/>
              </w:rPr>
            </w:pPr>
            <w:r>
              <w:rPr>
                <w:rFonts w:ascii="宋体" w:eastAsia="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2"/>
              </w:rPr>
            </w:pPr>
          </w:p>
        </w:tc>
        <w:tc>
          <w:tcPr>
            <w:tcW w:w="5103"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2"/>
              </w:rPr>
            </w:pPr>
          </w:p>
        </w:tc>
      </w:tr>
      <w:tr>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kern w:val="0"/>
                <w:sz w:val="22"/>
              </w:rPr>
            </w:pPr>
            <w:r>
              <w:rPr>
                <w:rFonts w:ascii="宋体" w:eastAsia="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hint="eastAsia"/>
                <w:kern w:val="0"/>
                <w:sz w:val="22"/>
                <w:lang w:val="en-US" w:eastAsia="zh-CN"/>
              </w:rPr>
            </w:pPr>
            <w:r>
              <w:rPr>
                <w:rFonts w:ascii="宋体" w:eastAsia="宋体" w:cs="宋体" w:hint="eastAsia"/>
                <w:kern w:val="0"/>
                <w:sz w:val="22"/>
                <w:lang w:val="en-US" w:eastAsia="zh-CN"/>
              </w:rPr>
              <w:t>1</w:t>
            </w:r>
          </w:p>
        </w:tc>
        <w:tc>
          <w:tcPr>
            <w:tcW w:w="5103" w:type="dxa"/>
            <w:tcBorders>
              <w:top w:val="nil"/>
              <w:left w:val="nil"/>
              <w:bottom w:val="single" w:sz="4" w:space="0" w:color="auto"/>
              <w:right w:val="single" w:sz="4" w:space="0" w:color="auto"/>
            </w:tcBorders>
            <w:shd w:val="clear" w:color="auto" w:fill="auto"/>
            <w:vAlign w:val="center"/>
          </w:tcPr>
          <w:p>
            <w:pPr>
              <w:widowControl/>
              <w:jc w:val="center"/>
              <w:rPr>
                <w:rFonts w:ascii="宋体" w:eastAsia="宋体" w:cs="宋体"/>
                <w:kern w:val="0"/>
                <w:sz w:val="22"/>
              </w:rPr>
            </w:pPr>
            <w:r>
              <w:rPr>
                <w:rFonts w:ascii="宋体" w:eastAsia="宋体" w:cs="宋体"/>
                <w:kern w:val="0"/>
                <w:sz w:val="22"/>
              </w:rPr>
              <w:t>138.38</w:t>
            </w:r>
          </w:p>
        </w:tc>
      </w:tr>
    </w:tbl>
    <w:p>
      <w:pPr>
        <w:ind w:firstLineChars="200" w:firstLine="640"/>
        <w:rPr>
          <w:rFonts w:ascii="黑体" w:eastAsia="黑体" w:cs="Times New Roman"/>
          <w:sz w:val="32"/>
          <w:szCs w:val="32"/>
        </w:rPr>
      </w:pPr>
      <w:r>
        <w:rPr>
          <w:rFonts w:ascii="黑体" w:eastAsia="黑体" w:cs="Times New Roman" w:hint="eastAsia"/>
          <w:sz w:val="32"/>
          <w:szCs w:val="32"/>
        </w:rPr>
        <w:t>八、名词解释</w:t>
      </w:r>
    </w:p>
    <w:p>
      <w:pPr>
        <w:rPr>
          <w:rFonts w:ascii="仿宋_GB2312" w:eastAsia="仿宋_GB2312" w:cs="Times New Roman"/>
          <w:sz w:val="32"/>
          <w:szCs w:val="32"/>
        </w:rPr>
      </w:pPr>
      <w:r>
        <w:rPr>
          <w:rFonts w:ascii="仿宋_GB2312" w:eastAsia="仿宋_GB2312" w:cs="Times New Roman" w:hint="eastAsia"/>
          <w:sz w:val="32"/>
          <w:szCs w:val="32"/>
        </w:rPr>
        <w:t xml:space="preserve"> </w:t>
      </w:r>
      <w:r>
        <w:rPr>
          <w:rFonts w:ascii="仿宋_GB2312" w:eastAsia="仿宋_GB2312" w:cs="Times New Roman"/>
          <w:sz w:val="32"/>
          <w:szCs w:val="32"/>
        </w:rPr>
        <w:t xml:space="preserve">   </w:t>
      </w:r>
      <w:r>
        <w:rPr>
          <w:rFonts w:ascii="仿宋_GB2312" w:eastAsia="仿宋_GB2312" w:cs="Times New Roman" w:hint="eastAsia"/>
          <w:sz w:val="32"/>
          <w:szCs w:val="32"/>
        </w:rPr>
        <w:t>1、一般公共预算拨款收入：指市级财政当年拨付的资金。</w:t>
      </w:r>
    </w:p>
    <w:p>
      <w:pPr>
        <w:rPr>
          <w:rFonts w:ascii="仿宋_GB2312" w:eastAsia="仿宋_GB2312" w:cs="Times New Roman"/>
          <w:sz w:val="32"/>
          <w:szCs w:val="32"/>
        </w:rPr>
      </w:pPr>
      <w:r>
        <w:rPr>
          <w:rFonts w:ascii="仿宋_GB2312" w:eastAsia="仿宋_GB2312" w:cs="Times New Roman" w:hint="eastAsia"/>
          <w:sz w:val="32"/>
          <w:szCs w:val="32"/>
        </w:rPr>
        <w:t xml:space="preserve">    2、事业收入：指事业单位开展专业业务活动及辅助活动所取得的收入。</w:t>
      </w:r>
    </w:p>
    <w:p>
      <w:pPr>
        <w:rPr>
          <w:rFonts w:ascii="仿宋_GB2312" w:eastAsia="仿宋_GB2312" w:cs="Times New Roman"/>
          <w:sz w:val="32"/>
          <w:szCs w:val="32"/>
        </w:rPr>
      </w:pPr>
      <w:r>
        <w:rPr>
          <w:rFonts w:ascii="仿宋_GB2312" w:eastAsia="仿宋_GB2312" w:cs="Times New Roman" w:hint="eastAsia"/>
          <w:sz w:val="32"/>
          <w:szCs w:val="32"/>
        </w:rPr>
        <w:t xml:space="preserve">    3、其他收入：指除上述“财政拨款收入”、“事业收入”等以外的收入。主要是按规定动用的租房收入、存款利息收入等。</w:t>
      </w:r>
    </w:p>
    <w:p>
      <w:pPr>
        <w:rPr>
          <w:rFonts w:ascii="仿宋_GB2312" w:eastAsia="仿宋_GB2312" w:cs="Times New Roman"/>
          <w:sz w:val="32"/>
          <w:szCs w:val="32"/>
        </w:rPr>
      </w:pPr>
      <w:r>
        <w:rPr>
          <w:rFonts w:ascii="仿宋_GB2312" w:eastAsia="仿宋_GB2312" w:cs="Times New Roman" w:hint="eastAsia"/>
          <w:sz w:val="32"/>
          <w:szCs w:val="32"/>
        </w:rPr>
        <w:t xml:space="preserve">    4、基本支出：指为保障机构正常运转、完成日常工作任务而发生的人员支出和公用支出。</w:t>
      </w:r>
    </w:p>
    <w:p>
      <w:pPr>
        <w:rPr>
          <w:rFonts w:ascii="仿宋_GB2312" w:eastAsia="仿宋_GB2312" w:cs="Times New Roman"/>
          <w:sz w:val="32"/>
          <w:szCs w:val="32"/>
        </w:rPr>
      </w:pPr>
      <w:r>
        <w:rPr>
          <w:rFonts w:ascii="仿宋_GB2312" w:eastAsia="仿宋_GB2312" w:cs="Times New Roman" w:hint="eastAsia"/>
          <w:sz w:val="32"/>
          <w:szCs w:val="32"/>
        </w:rPr>
        <w:t xml:space="preserve">    5、项目支出：指在基本支出之外为完成特定行政任务和事业发展目标所发生的支出。</w:t>
      </w:r>
    </w:p>
    <w:p>
      <w:pPr>
        <w:rPr>
          <w:rFonts w:ascii="仿宋_GB2312" w:eastAsia="仿宋_GB2312" w:cs="Times New Roman"/>
          <w:sz w:val="32"/>
          <w:szCs w:val="32"/>
        </w:rPr>
      </w:pPr>
      <w:r>
        <w:rPr>
          <w:rFonts w:ascii="仿宋_GB2312" w:eastAsia="仿宋_GB2312" w:cs="Times New Roman" w:hint="eastAsia"/>
          <w:sz w:val="32"/>
          <w:szCs w:val="32"/>
        </w:rPr>
        <w:t xml:space="preserve">    6、上缴上级支出：指下级单位上缴上级的支出。</w:t>
      </w:r>
    </w:p>
    <w:p>
      <w:pPr>
        <w:rPr>
          <w:rFonts w:ascii="仿宋_GB2312" w:eastAsia="仿宋_GB2312" w:cs="Times New Roman"/>
          <w:sz w:val="32"/>
          <w:szCs w:val="32"/>
        </w:rPr>
      </w:pPr>
      <w:r>
        <w:rPr>
          <w:rFonts w:ascii="仿宋_GB2312" w:eastAsia="仿宋_GB2312"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Times New Roman"/>
          <w:sz w:val="32"/>
          <w:szCs w:val="32"/>
        </w:rPr>
      </w:pPr>
      <w:r>
        <w:rPr>
          <w:rFonts w:ascii="仿宋_GB2312" w:eastAsia="仿宋_GB2312"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rFonts w:ascii="黑体" w:eastAsia="黑体" w:cs="Times New Roman"/>
          <w:sz w:val="32"/>
          <w:szCs w:val="32"/>
        </w:rPr>
      </w:pPr>
      <w:r>
        <w:rPr>
          <w:rFonts w:ascii="黑体" w:eastAsia="黑体" w:cs="Times New Roman" w:hint="eastAsia"/>
          <w:sz w:val="32"/>
          <w:szCs w:val="32"/>
        </w:rPr>
        <w:t>九、其他需要说明的事项</w:t>
      </w:r>
    </w:p>
    <w:p>
      <w:pPr>
        <w:ind w:firstLine="640"/>
        <w:rPr>
          <w:rFonts w:ascii="仿宋_GB2312" w:eastAsia="仿宋_GB2312" w:cs="Times New Roman"/>
          <w:sz w:val="32"/>
          <w:szCs w:val="32"/>
        </w:rPr>
      </w:pPr>
      <w:r>
        <w:rPr>
          <w:rFonts w:ascii="仿宋_GB2312" w:eastAsia="仿宋_GB2312" w:cs="Times New Roman" w:hint="eastAsia"/>
          <w:sz w:val="32"/>
          <w:szCs w:val="32"/>
        </w:rPr>
        <w:t>无其他需要说明的事项。</w:t>
      </w:r>
    </w:p>
    <w:sectPr>
      <w:footerReference w:type="default" r:id="rId2"/>
      <w:pgSz w:w="16838" w:h="11906" w:orient="landscape"/>
      <w:pgMar w:top="1797" w:right="1440" w:bottom="1797"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0000000000000000000"/>
    <w:charset w:val="86"/>
    <w:family w:val="auto"/>
    <w:pitch w:val="variable"/>
    <w:sig w:usb0="00000000" w:usb1="00000000" w:usb2="00000010" w:usb3="00000000" w:csb0="00040000" w:csb1="00000000"/>
  </w:font>
  <w:font w:name="Times New Roman">
    <w:panose1 w:val="02020603050405020304"/>
    <w:charset w:val="86"/>
    <w:family w:val="roman"/>
    <w:pitch w:val="variable"/>
    <w:sig w:usb0="E0002EFF" w:usb1="C000785B" w:usb2="00000009" w:usb3="00000000" w:csb0="400001FF" w:csb1="FFFF0000"/>
  </w:font>
  <w:font w:name="仿宋_GB2312">
    <w:altName w:val="仿宋"/>
    <w:panose1 w:val="00000000000000000000"/>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楷体_GB2312">
    <w:altName w:val="楷体"/>
    <w:panose1 w:val="00000000000000000000"/>
    <w:charset w:val="86"/>
    <w:family w:val="modern"/>
    <w:pitch w:val="variable"/>
    <w:sig w:usb0="00000000" w:usb1="0000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方正小标宋_GBK">
    <w:altName w:val="微软雅黑"/>
    <w:panose1 w:val="00000000000000000000"/>
    <w:charset w:val="86"/>
    <w:family w:val="script"/>
    <w:pitch w:val="variable"/>
    <w:sig w:usb0="00000000" w:usb1="00000000" w:usb2="00000010" w:usb3="00000000" w:csb0="00040000" w:csb1="00000000"/>
  </w:font>
  <w:font w:name="方正书宋_GBK">
    <w:altName w:val="微软雅黑"/>
    <w:panose1 w:val="00000000000000000000"/>
    <w:charset w:val="86"/>
    <w:family w:val="script"/>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方正仿宋_GBK">
    <w:altName w:val="微软雅黑"/>
    <w:panose1 w:val="00000000000000000000"/>
    <w:charset w:val="86"/>
    <w:family w:val="script"/>
    <w:pitch w:val="variable"/>
    <w:sig w:usb0="00000000" w:usb1="00000000" w:usb2="00000010" w:usb3="00000000" w:csb0="00040000" w:csb1="00000000"/>
  </w:font>
  <w:font w:name="华文中宋">
    <w:panose1 w:val="02010600040101010101"/>
    <w:charset w:val="86"/>
    <w:family w:val="auto"/>
    <w:pitch w:val="variable"/>
    <w:sig w:usb0="00000287" w:usb1="080F0000" w:usb2="00000000" w:usb3="00000000" w:csb0="0004009F" w:csb1="DFD70000"/>
  </w:font>
  <w:font w:name="Calibri">
    <w:panose1 w:val="020F0502020204030204"/>
    <w:charset w:val="00"/>
    <w:family w:val="swiss"/>
    <w:pitch w:val="variable"/>
    <w:sig w:usb0="E0002AFF" w:usb1="C000247B" w:usb2="00000009" w:usb3="00000000" w:csb0="200001FF" w:csb1="00000000"/>
  </w:font>
  <w:font w:name="Arial">
    <w:panose1 w:val="020B0604020202020204"/>
    <w:charset w:val="01"/>
    <w:family w:val="swiss"/>
    <w:pitch w:val="variable"/>
    <w:sig w:usb0="E0002EFF" w:usb1="C0007843" w:usb2="00000009" w:usb3="00000000" w:csb0="400001FF" w:csb1="FFFF0000"/>
  </w:font>
  <w:font w:name="Tahoma">
    <w:panose1 w:val="020B0604030504040204"/>
    <w:charset w:val="00"/>
    <w:family w:val="swiss"/>
    <w:pitch w:val="variable"/>
    <w:sig w:usb0="E1002EFF" w:usb1="C000605B" w:usb2="00000029" w:usb3="00000000" w:csb0="200101FF" w:csb1="2028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415966764"/>
      <w:docPartList>
        <w:docPartGallery w:val="autotext"/>
      </w:docPartList>
    </w:sdtPr>
    <w:sdtContent>
      <w:p>
        <w:pPr>
          <w:pStyle w:val="16"/>
          <w:tabs>
            <w:tab w:val="center" w:pos="4153"/>
            <w:tab w:val="right" w:pos="8306"/>
          </w:tabs>
          <w:jc w:val="center"/>
        </w:pPr>
        <w:r>
          <w:rPr>
            <w:sz w:val="28"/>
          </w:rPr>
          <w:fldChar w:fldCharType="begin"/>
        </w:r>
        <w:r>
          <w:rPr>
            <w:sz w:val="28"/>
          </w:rPr>
          <w:instrText>PAGE   \* MERGEFORMAT</w:instrText>
        </w:r>
        <w:r>
          <w:rPr>
            <w:sz w:val="28"/>
          </w:rPr>
          <w:fldChar w:fldCharType="separate"/>
        </w:r>
        <w:r>
          <w:rPr>
            <w:sz w:val="28"/>
            <w:lang w:val="zh-CN"/>
          </w:rPr>
          <w:t>6</w:t>
        </w:r>
        <w:r>
          <w:rPr>
            <w:sz w:val="28"/>
          </w:rPr>
          <w:fldChar w:fldCharType="end"/>
        </w:r>
      </w:p>
    </w:sdtContent>
  </w:sdt>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53B0C16"/>
    <w:multiLevelType w:val="singleLevel"/>
    <w:tmpl w:val="F53B0C16"/>
    <w:lvl w:ilvl="0">
      <w:start w:val="2"/>
      <w:numFmt w:val="chineseCounting"/>
      <w:lvlRestart w:val="0"/>
      <w:suff w:val="space"/>
      <w:lvlText w:val="第%1部分"/>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rFonts w:ascii="Times New Roman" w:eastAsia="宋体" w:cs="Times New Roman" w:hAnsi="Times New Roman"/>
      <w:sz w:val="18"/>
      <w:szCs w:val="18"/>
    </w:rPr>
  </w:style>
  <w:style w:type="paragraph" w:styleId="17">
    <w:name w:val="header"/>
    <w:basedOn w:val="0"/>
    <w:pPr>
      <w:pBdr>
        <w:bottom w:val="single" w:sz="6" w:space="1" w:color="auto"/>
      </w:pBdr>
      <w:tabs>
        <w:tab w:val="center" w:pos="4153"/>
        <w:tab w:val="right" w:pos="8306"/>
      </w:tabs>
      <w:snapToGrid w:val="0"/>
      <w:jc w:val="center"/>
    </w:pPr>
    <w:rPr>
      <w:rFonts w:ascii="Times New Roman" w:eastAsia="宋体" w:cs="Times New Roman" w:hAnsi="Times New Roman"/>
      <w:sz w:val="18"/>
      <w:szCs w:val="18"/>
    </w:rPr>
  </w:style>
  <w:style w:type="paragraph" w:styleId="18">
    <w:name w:val="toc 1"/>
    <w:basedOn w:val="0"/>
    <w:next w:val="0"/>
    <w:rPr>
      <w:rFonts w:ascii="Times New Roman" w:eastAsia="宋体" w:cs="Times New Roman" w:hAnsi="Times New Roman"/>
      <w:szCs w:val="24"/>
    </w:rPr>
  </w:style>
  <w:style w:type="paragraph" w:styleId="19">
    <w:name w:val="toc 2"/>
    <w:basedOn w:val="0"/>
    <w:next w:val="0"/>
    <w:pPr>
      <w:ind w:leftChars="200" w:left="200"/>
    </w:pPr>
    <w:rPr>
      <w:rFonts w:ascii="Times New Roman" w:eastAsia="宋体" w:cs="Times New Roman" w:hAnsi="Times New Roman"/>
      <w:szCs w:val="24"/>
    </w:rPr>
  </w:style>
  <w:style w:type="paragraph" w:styleId="20">
    <w:name w:val="Normal (Web)"/>
    <w:basedOn w:val="0"/>
    <w:pPr>
      <w:jc w:val="left"/>
    </w:pPr>
    <w:rPr>
      <w:sz w:val="24"/>
    </w:rPr>
  </w:style>
  <w:style w:type="character" w:styleId="21">
    <w:name w:val="page number"/>
    <w:basedOn w:val="10"/>
    <w:rPr>
      <w:sz w:val="24"/>
    </w:rPr>
  </w:style>
  <w:style w:type="character" w:styleId="22">
    <w:name w:val="FollowedHyperlink"/>
    <w:basedOn w:val="10"/>
    <w:rPr>
      <w:color w:val="800080"/>
      <w:sz w:val="24"/>
    </w:rPr>
  </w:style>
  <w:style w:type="character" w:styleId="23">
    <w:name w:val="Hyperlink"/>
    <w:basedOn w:val="10"/>
    <w:rPr>
      <w:color w:val="0000FF"/>
      <w:sz w:val="24"/>
    </w:rPr>
  </w:style>
  <w:style w:type="paragraph" w:customStyle="1" w:styleId="24">
    <w:name w:val="Default"/>
    <w:pPr>
      <w:widowControl w:val="0"/>
      <w:autoSpaceDE w:val="0"/>
      <w:autoSpaceDN w:val="0"/>
      <w:adjustRightInd w:val="0"/>
    </w:pPr>
    <w:rPr>
      <w:rFonts w:ascii="Times New Roman" w:eastAsia="宋体" w:cs="Times New Roman" w:hAnsi="Times New Roman"/>
      <w:color w:val="000000"/>
      <w:kern w:val="0"/>
      <w:sz w:val="24"/>
      <w:szCs w:val="24"/>
      <w:lang w:val="en-US" w:eastAsia="zh-CN" w:bidi="ar-SA"/>
    </w:rPr>
  </w:style>
  <w:style w:type="paragraph" w:customStyle="1" w:styleId="25">
    <w:name w:val="Char"/>
    <w:basedOn w:val="0"/>
    <w:rPr>
      <w:rFonts w:ascii="Tahoma" w:eastAsia="宋体" w:cs="Times New Roman" w:hAnsi="Tahoma"/>
      <w:sz w:val="24"/>
      <w:szCs w:val="24"/>
    </w:rPr>
  </w:style>
  <w:style w:type="paragraph" w:customStyle="1" w:styleId="26">
    <w:name w:val="[Normal]"/>
    <w:pPr>
      <w:widowControl w:val="0"/>
      <w:autoSpaceDE w:val="0"/>
      <w:autoSpaceDN w:val="0"/>
      <w:adjustRightInd w:val="0"/>
    </w:pPr>
    <w:rPr>
      <w:rFonts w:ascii="宋体" w:eastAsia="宋体" w:cs="Times New Roman"/>
      <w:sz w:val="24"/>
      <w:szCs w:val="20"/>
    </w:rPr>
  </w:style>
  <w:style w:type="character" w:customStyle="1" w:styleId="27">
    <w:name w:val="批注框文本 Char"/>
    <w:basedOn w:val="10"/>
    <w:rPr>
      <w:sz w:val="18"/>
    </w:rPr>
  </w:style>
  <w:style w:type="character" w:customStyle="1" w:styleId="28">
    <w:name w:val="页脚 Char"/>
    <w:basedOn w:val="10"/>
    <w:rPr>
      <w:sz w:val="18"/>
    </w:rPr>
  </w:style>
  <w:style w:type="character" w:customStyle="1" w:styleId="29">
    <w:name w:val="页眉 Char"/>
    <w:basedOn w:val="10"/>
    <w:rPr>
      <w:sz w:val="18"/>
    </w:rPr>
  </w:style>
  <w:style w:type="character" w:customStyle="1" w:styleId="30">
    <w:name w:val="font41"/>
    <w:basedOn w:val="10"/>
    <w:rPr>
      <w:rFonts w:ascii="宋体" w:eastAsia="宋体"/>
      <w:b/>
      <w:color w:val="000000"/>
      <w:sz w:val="20"/>
    </w:rPr>
  </w:style>
  <w:style w:type="paragraph" w:customStyle="1" w:styleId="31">
    <w:name w:val="ÆÕÍ¨(ÍøÕ¾)1"/>
    <w:basedOn w:val="0"/>
    <w:pPr>
      <w:widowControl w:val="0"/>
      <w:spacing w:before="100" w:after="100"/>
      <w:jc w:val="left"/>
    </w:pPr>
    <w:rPr>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Yozo_Office27021597764231179</Application>
  <Pages>32</Pages>
  <Words>17552</Words>
  <Characters>19226</Characters>
  <Lines>318</Lines>
  <Paragraphs>1512</Paragraphs>
  <CharactersWithSpaces>19279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guest</dc:creator>
  <cp:lastModifiedBy>Administrator</cp:lastModifiedBy>
  <cp:revision>1407</cp:revision>
  <cp:lastPrinted>2018-02-28T01:51:00Z</cp:lastPrinted>
  <dcterms:created xsi:type="dcterms:W3CDTF">2017-10-26T06:45:00Z</dcterms:created>
  <dcterms:modified xsi:type="dcterms:W3CDTF">2022-09-08T01:26:51Z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2052-10.1.0.7400</vt:lpwstr>
  </property>
</Properties>
</file>